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EFBE7C">
      <w:pPr>
        <w:spacing w:line="360" w:lineRule="auto"/>
        <w:rPr>
          <w:rFonts w:ascii="宋体" w:hAnsi="宋体" w:eastAsia="宋体" w:cs="宋体"/>
          <w:b/>
          <w:sz w:val="28"/>
          <w:szCs w:val="28"/>
        </w:rPr>
      </w:pPr>
      <w:r>
        <w:rPr>
          <w:rFonts w:hint="eastAsia" w:ascii="宋体" w:hAnsi="宋体" w:eastAsia="宋体" w:cs="宋体"/>
          <w:b/>
          <w:sz w:val="28"/>
          <w:szCs w:val="28"/>
        </w:rPr>
        <w:t>附件1</w:t>
      </w:r>
    </w:p>
    <w:p w14:paraId="28B76318">
      <w:pPr>
        <w:jc w:val="center"/>
        <w:rPr>
          <w:rFonts w:hint="eastAsia" w:ascii="方正小标宋_GBK" w:eastAsia="方正小标宋_GBK"/>
          <w:sz w:val="32"/>
          <w:szCs w:val="32"/>
        </w:rPr>
      </w:pPr>
      <w:bookmarkStart w:id="0" w:name="_Toc28359011"/>
      <w:bookmarkStart w:id="1" w:name="_Toc35393797"/>
      <w:r>
        <w:rPr>
          <w:rFonts w:hint="eastAsia" w:ascii="方正小标宋_GBK" w:eastAsia="方正小标宋_GBK"/>
          <w:sz w:val="32"/>
          <w:szCs w:val="32"/>
          <w:lang w:val="en-US" w:eastAsia="zh-CN"/>
        </w:rPr>
        <w:t>音乐与舞蹈学院音乐治疗评估与训练系统采购</w:t>
      </w:r>
      <w:r>
        <w:rPr>
          <w:rFonts w:hint="eastAsia" w:ascii="方正小标宋_GBK" w:eastAsia="方正小标宋_GBK"/>
          <w:sz w:val="32"/>
          <w:szCs w:val="32"/>
        </w:rPr>
        <w:t>项目</w:t>
      </w:r>
    </w:p>
    <w:p w14:paraId="5F02DB1F">
      <w:pPr>
        <w:jc w:val="center"/>
        <w:rPr>
          <w:rFonts w:ascii="方正小标宋_GBK" w:eastAsia="方正小标宋_GBK"/>
          <w:sz w:val="32"/>
          <w:szCs w:val="32"/>
        </w:rPr>
      </w:pPr>
      <w:r>
        <w:rPr>
          <w:rFonts w:hint="eastAsia" w:ascii="方正小标宋_GBK" w:eastAsia="方正小标宋_GBK"/>
          <w:sz w:val="32"/>
          <w:szCs w:val="32"/>
        </w:rPr>
        <w:t>询价（比选）采购公告</w:t>
      </w:r>
      <w:bookmarkEnd w:id="0"/>
      <w:bookmarkEnd w:id="1"/>
      <w:bookmarkStart w:id="2" w:name="_Toc28359089"/>
      <w:bookmarkStart w:id="3" w:name="_Toc35393798"/>
      <w:bookmarkStart w:id="4" w:name="_Toc28359012"/>
      <w:bookmarkStart w:id="5" w:name="_Toc35393629"/>
    </w:p>
    <w:p w14:paraId="143999E1">
      <w:pPr>
        <w:jc w:val="left"/>
        <w:rPr>
          <w:rFonts w:ascii="黑体" w:hAnsi="黑体" w:eastAsia="黑体"/>
          <w:sz w:val="28"/>
          <w:szCs w:val="28"/>
        </w:rPr>
      </w:pPr>
      <w:r>
        <w:rPr>
          <w:rFonts w:hint="eastAsia" w:ascii="黑体" w:hAnsi="黑体" w:eastAsia="黑体"/>
          <w:sz w:val="28"/>
          <w:szCs w:val="28"/>
        </w:rPr>
        <w:t>一、项目基本情况</w:t>
      </w:r>
      <w:bookmarkEnd w:id="2"/>
      <w:bookmarkEnd w:id="3"/>
      <w:bookmarkEnd w:id="4"/>
      <w:bookmarkEnd w:id="5"/>
    </w:p>
    <w:p w14:paraId="59F8BC30">
      <w:pPr>
        <w:jc w:val="left"/>
        <w:rPr>
          <w:rFonts w:hint="default" w:ascii="仿宋" w:hAnsi="仿宋" w:eastAsia="仿宋"/>
          <w:sz w:val="28"/>
          <w:szCs w:val="28"/>
          <w:lang w:val="en-US" w:eastAsia="zh-CN"/>
        </w:rPr>
      </w:pPr>
      <w:r>
        <w:rPr>
          <w:rFonts w:hint="eastAsia" w:ascii="仿宋" w:hAnsi="仿宋" w:eastAsia="仿宋"/>
          <w:sz w:val="28"/>
          <w:szCs w:val="28"/>
        </w:rPr>
        <w:t>项目名称：</w:t>
      </w:r>
      <w:r>
        <w:rPr>
          <w:rFonts w:hint="eastAsia" w:ascii="仿宋" w:hAnsi="仿宋" w:eastAsia="仿宋"/>
          <w:sz w:val="28"/>
          <w:szCs w:val="28"/>
          <w:lang w:val="en-US" w:eastAsia="zh-CN"/>
        </w:rPr>
        <w:t>音乐治疗评估与训练系统采购</w:t>
      </w:r>
    </w:p>
    <w:p w14:paraId="6E0F8BB0">
      <w:pPr>
        <w:jc w:val="left"/>
        <w:rPr>
          <w:rFonts w:hint="eastAsia" w:ascii="仿宋" w:hAnsi="仿宋" w:eastAsia="仿宋"/>
          <w:sz w:val="28"/>
          <w:szCs w:val="28"/>
          <w:lang w:eastAsia="zh-CN"/>
        </w:rPr>
      </w:pPr>
      <w:r>
        <w:rPr>
          <w:rFonts w:hint="eastAsia" w:ascii="仿宋" w:hAnsi="仿宋" w:eastAsia="仿宋"/>
          <w:sz w:val="28"/>
          <w:szCs w:val="28"/>
        </w:rPr>
        <w:t>项目编号：</w:t>
      </w:r>
      <w:r>
        <w:rPr>
          <w:rFonts w:hint="eastAsia" w:ascii="仿宋" w:hAnsi="仿宋" w:eastAsia="仿宋"/>
          <w:sz w:val="28"/>
          <w:szCs w:val="28"/>
          <w:lang w:eastAsia="zh-CN"/>
        </w:rPr>
        <w:t>YW202504</w:t>
      </w:r>
    </w:p>
    <w:p w14:paraId="1CFAB251">
      <w:pPr>
        <w:jc w:val="left"/>
        <w:rPr>
          <w:rFonts w:hint="eastAsia" w:ascii="仿宋" w:hAnsi="仿宋" w:eastAsia="仿宋"/>
          <w:sz w:val="28"/>
          <w:szCs w:val="28"/>
          <w:lang w:val="en-US" w:eastAsia="zh-CN"/>
        </w:rPr>
      </w:pPr>
      <w:r>
        <w:rPr>
          <w:rFonts w:hint="eastAsia" w:ascii="仿宋" w:hAnsi="仿宋" w:eastAsia="仿宋"/>
          <w:sz w:val="28"/>
          <w:szCs w:val="28"/>
        </w:rPr>
        <w:t>预算金额：</w:t>
      </w:r>
      <w:r>
        <w:rPr>
          <w:rFonts w:hint="eastAsia" w:ascii="仿宋" w:hAnsi="仿宋" w:eastAsia="仿宋"/>
          <w:sz w:val="28"/>
          <w:szCs w:val="28"/>
          <w:lang w:val="en-US" w:eastAsia="zh-CN"/>
        </w:rPr>
        <w:t>玖万元</w:t>
      </w:r>
    </w:p>
    <w:p w14:paraId="232BB1E5">
      <w:pPr>
        <w:jc w:val="left"/>
        <w:rPr>
          <w:rFonts w:hint="default" w:ascii="仿宋" w:hAnsi="仿宋" w:eastAsia="仿宋"/>
          <w:sz w:val="28"/>
          <w:szCs w:val="28"/>
          <w:lang w:val="en-US" w:eastAsia="zh-CN"/>
        </w:rPr>
      </w:pPr>
      <w:r>
        <w:rPr>
          <w:rFonts w:hint="eastAsia" w:ascii="仿宋" w:hAnsi="仿宋" w:eastAsia="仿宋"/>
          <w:sz w:val="28"/>
          <w:szCs w:val="28"/>
        </w:rPr>
        <w:t>项目概况：</w:t>
      </w:r>
      <w:r>
        <w:rPr>
          <w:rFonts w:hint="eastAsia" w:ascii="仿宋" w:hAnsi="仿宋" w:eastAsia="仿宋"/>
          <w:sz w:val="28"/>
          <w:szCs w:val="28"/>
          <w:lang w:val="en-US" w:eastAsia="zh-CN"/>
        </w:rPr>
        <w:t>音乐治疗评估与训练系统1套</w:t>
      </w:r>
    </w:p>
    <w:p w14:paraId="5545DFF8">
      <w:pPr>
        <w:jc w:val="left"/>
        <w:rPr>
          <w:rFonts w:hint="default" w:ascii="仿宋" w:hAnsi="仿宋" w:eastAsia="仿宋"/>
          <w:sz w:val="28"/>
          <w:szCs w:val="28"/>
          <w:lang w:val="en-US" w:eastAsia="zh-CN"/>
        </w:rPr>
      </w:pPr>
      <w:r>
        <w:rPr>
          <w:rFonts w:hint="eastAsia" w:ascii="仿宋" w:hAnsi="仿宋" w:eastAsia="仿宋"/>
          <w:sz w:val="28"/>
          <w:szCs w:val="28"/>
        </w:rPr>
        <w:t>交货时间（工期）：</w:t>
      </w:r>
      <w:r>
        <w:rPr>
          <w:rFonts w:hint="eastAsia" w:ascii="仿宋" w:hAnsi="仿宋" w:eastAsia="仿宋"/>
          <w:sz w:val="28"/>
          <w:szCs w:val="28"/>
          <w:lang w:val="en-US" w:eastAsia="zh-CN"/>
        </w:rPr>
        <w:t>2025年11月20日</w:t>
      </w:r>
    </w:p>
    <w:p w14:paraId="7832DE37">
      <w:pPr>
        <w:jc w:val="left"/>
        <w:rPr>
          <w:rFonts w:ascii="黑体" w:hAnsi="黑体" w:eastAsia="黑体"/>
          <w:sz w:val="28"/>
          <w:szCs w:val="28"/>
        </w:rPr>
      </w:pPr>
      <w:bookmarkStart w:id="6" w:name="_Toc35393799"/>
      <w:bookmarkStart w:id="7" w:name="_Toc35393630"/>
      <w:bookmarkStart w:id="8" w:name="_Toc28359090"/>
      <w:bookmarkStart w:id="9" w:name="_Toc28359013"/>
      <w:r>
        <w:rPr>
          <w:rFonts w:hint="eastAsia" w:ascii="黑体" w:hAnsi="黑体" w:eastAsia="黑体"/>
          <w:sz w:val="28"/>
          <w:szCs w:val="28"/>
        </w:rPr>
        <w:t>二、供应商资格要求：</w:t>
      </w:r>
      <w:bookmarkEnd w:id="6"/>
      <w:bookmarkEnd w:id="7"/>
      <w:bookmarkEnd w:id="8"/>
      <w:bookmarkEnd w:id="9"/>
    </w:p>
    <w:p w14:paraId="1DDB5AAC">
      <w:pPr>
        <w:jc w:val="left"/>
        <w:rPr>
          <w:rFonts w:ascii="仿宋" w:hAnsi="仿宋" w:eastAsia="仿宋"/>
          <w:sz w:val="28"/>
          <w:szCs w:val="28"/>
        </w:rPr>
      </w:pPr>
      <w:r>
        <w:rPr>
          <w:rFonts w:hint="eastAsia" w:ascii="仿宋" w:hAnsi="仿宋" w:eastAsia="仿宋"/>
          <w:sz w:val="28"/>
          <w:szCs w:val="28"/>
        </w:rPr>
        <w:t>1.满足《中华人民共和国政府采购法》第二十二条规定；</w:t>
      </w:r>
    </w:p>
    <w:p w14:paraId="7FB6EF3D">
      <w:pPr>
        <w:jc w:val="left"/>
        <w:rPr>
          <w:rFonts w:ascii="仿宋" w:hAnsi="仿宋" w:eastAsia="仿宋"/>
          <w:sz w:val="28"/>
          <w:szCs w:val="28"/>
        </w:rPr>
      </w:pPr>
      <w:bookmarkStart w:id="10" w:name="_Toc28359014"/>
      <w:bookmarkStart w:id="11" w:name="_Toc28359091"/>
      <w:r>
        <w:rPr>
          <w:rFonts w:ascii="仿宋" w:hAnsi="仿宋" w:eastAsia="仿宋"/>
          <w:sz w:val="28"/>
          <w:szCs w:val="28"/>
        </w:rPr>
        <w:t>2</w:t>
      </w:r>
      <w:r>
        <w:rPr>
          <w:rFonts w:hint="eastAsia" w:ascii="仿宋" w:hAnsi="仿宋" w:eastAsia="仿宋"/>
          <w:sz w:val="28"/>
          <w:szCs w:val="28"/>
        </w:rPr>
        <w:t>.本项目的特定资格要求：</w:t>
      </w:r>
      <w:r>
        <w:rPr>
          <w:rFonts w:hint="eastAsia" w:ascii="仿宋" w:hAnsi="仿宋" w:eastAsia="仿宋"/>
          <w:sz w:val="28"/>
          <w:szCs w:val="28"/>
          <w:lang w:val="en-US" w:eastAsia="zh-CN"/>
        </w:rPr>
        <w:t>无</w:t>
      </w:r>
      <w:r>
        <w:rPr>
          <w:rFonts w:hint="eastAsia" w:ascii="仿宋" w:hAnsi="仿宋" w:eastAsia="仿宋"/>
          <w:i/>
          <w:sz w:val="28"/>
          <w:szCs w:val="28"/>
        </w:rPr>
        <w:t>（如属于特定行业项目,供应商应当具备特定行业法定准入要求)</w:t>
      </w:r>
    </w:p>
    <w:p w14:paraId="66CAA9F0">
      <w:pPr>
        <w:jc w:val="left"/>
        <w:rPr>
          <w:rFonts w:ascii="黑体" w:hAnsi="黑体" w:eastAsia="黑体"/>
          <w:sz w:val="28"/>
          <w:szCs w:val="28"/>
        </w:rPr>
      </w:pPr>
      <w:bookmarkStart w:id="12" w:name="_Toc35393631"/>
      <w:bookmarkStart w:id="13" w:name="_Toc35393800"/>
      <w:r>
        <w:rPr>
          <w:rFonts w:hint="eastAsia" w:ascii="黑体" w:hAnsi="黑体" w:eastAsia="黑体"/>
          <w:sz w:val="28"/>
          <w:szCs w:val="28"/>
        </w:rPr>
        <w:t>三、现场勘查（如需要，不需要则填无）</w:t>
      </w:r>
    </w:p>
    <w:p w14:paraId="05C895F7">
      <w:pPr>
        <w:jc w:val="left"/>
        <w:rPr>
          <w:rFonts w:hint="eastAsia" w:ascii="仿宋" w:hAnsi="仿宋" w:eastAsia="仿宋"/>
          <w:sz w:val="28"/>
          <w:szCs w:val="28"/>
          <w:lang w:val="en-US" w:eastAsia="zh-CN"/>
        </w:rPr>
      </w:pPr>
      <w:r>
        <w:rPr>
          <w:rFonts w:hint="eastAsia" w:ascii="仿宋" w:hAnsi="仿宋" w:eastAsia="仿宋"/>
          <w:sz w:val="28"/>
          <w:szCs w:val="28"/>
        </w:rPr>
        <w:t>联系人：</w:t>
      </w:r>
      <w:r>
        <w:rPr>
          <w:rFonts w:hint="eastAsia" w:ascii="仿宋" w:hAnsi="仿宋" w:eastAsia="仿宋"/>
          <w:sz w:val="28"/>
          <w:szCs w:val="28"/>
          <w:lang w:val="en-US" w:eastAsia="zh-CN"/>
        </w:rPr>
        <w:t>段冀州</w:t>
      </w:r>
    </w:p>
    <w:p w14:paraId="6BCDD0BE">
      <w:pPr>
        <w:jc w:val="left"/>
        <w:rPr>
          <w:rFonts w:hint="default" w:ascii="仿宋" w:hAnsi="仿宋" w:eastAsia="仿宋"/>
          <w:sz w:val="28"/>
          <w:szCs w:val="28"/>
          <w:lang w:val="en-US" w:eastAsia="zh-CN"/>
        </w:rPr>
      </w:pPr>
      <w:r>
        <w:rPr>
          <w:rFonts w:hint="eastAsia" w:ascii="仿宋" w:hAnsi="仿宋" w:eastAsia="仿宋"/>
          <w:sz w:val="28"/>
          <w:szCs w:val="28"/>
        </w:rPr>
        <w:t>电  话：</w:t>
      </w:r>
      <w:r>
        <w:rPr>
          <w:rFonts w:hint="eastAsia" w:ascii="仿宋" w:hAnsi="仿宋" w:eastAsia="仿宋"/>
          <w:sz w:val="28"/>
          <w:szCs w:val="28"/>
          <w:lang w:val="en-US" w:eastAsia="zh-CN"/>
        </w:rPr>
        <w:t>17751039513</w:t>
      </w:r>
    </w:p>
    <w:p w14:paraId="6603765A">
      <w:pPr>
        <w:numPr>
          <w:ilvl w:val="0"/>
          <w:numId w:val="1"/>
        </w:numPr>
        <w:jc w:val="left"/>
        <w:rPr>
          <w:rFonts w:hint="eastAsia" w:ascii="黑体" w:hAnsi="黑体" w:eastAsia="黑体"/>
          <w:sz w:val="28"/>
          <w:szCs w:val="28"/>
        </w:rPr>
      </w:pPr>
      <w:r>
        <w:rPr>
          <w:rFonts w:hint="eastAsia" w:ascii="黑体" w:hAnsi="黑体" w:eastAsia="黑体"/>
          <w:sz w:val="28"/>
          <w:szCs w:val="28"/>
        </w:rPr>
        <w:t>项目需求（包括但不限于标的名称、数量、技术需求或服务要求等）</w:t>
      </w:r>
    </w:p>
    <w:tbl>
      <w:tblPr>
        <w:tblStyle w:val="2"/>
        <w:tblW w:w="93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
        <w:gridCol w:w="1932"/>
        <w:gridCol w:w="968"/>
        <w:gridCol w:w="818"/>
        <w:gridCol w:w="3783"/>
        <w:gridCol w:w="988"/>
      </w:tblGrid>
      <w:tr w14:paraId="4573E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75" w:type="dxa"/>
            <w:shd w:val="clear" w:color="auto" w:fill="auto"/>
            <w:noWrap/>
            <w:vAlign w:val="center"/>
          </w:tcPr>
          <w:p w14:paraId="2BCB64A2">
            <w:pPr>
              <w:spacing w:after="0" w:line="240" w:lineRule="auto"/>
              <w:jc w:val="center"/>
              <w:rPr>
                <w:rFonts w:hint="eastAsia" w:ascii="仿宋" w:hAnsi="仿宋" w:eastAsia="仿宋" w:cs="Times New Roman"/>
                <w:sz w:val="28"/>
                <w:szCs w:val="28"/>
                <w14:ligatures w14:val="none"/>
              </w:rPr>
            </w:pPr>
            <w:r>
              <w:rPr>
                <w:rFonts w:hint="eastAsia" w:ascii="仿宋" w:hAnsi="仿宋" w:eastAsia="仿宋" w:cs="Times New Roman"/>
                <w:sz w:val="28"/>
                <w:szCs w:val="28"/>
                <w14:ligatures w14:val="none"/>
              </w:rPr>
              <w:t>序号</w:t>
            </w:r>
          </w:p>
        </w:tc>
        <w:tc>
          <w:tcPr>
            <w:tcW w:w="1932" w:type="dxa"/>
            <w:shd w:val="clear" w:color="auto" w:fill="auto"/>
            <w:vAlign w:val="center"/>
          </w:tcPr>
          <w:p w14:paraId="34E076A4">
            <w:pPr>
              <w:spacing w:after="0" w:line="240" w:lineRule="auto"/>
              <w:jc w:val="center"/>
              <w:rPr>
                <w:rFonts w:hint="eastAsia" w:ascii="仿宋" w:hAnsi="仿宋" w:eastAsia="仿宋" w:cs="Times New Roman"/>
                <w:sz w:val="28"/>
                <w:szCs w:val="28"/>
                <w14:ligatures w14:val="none"/>
              </w:rPr>
            </w:pPr>
            <w:r>
              <w:rPr>
                <w:rFonts w:hint="eastAsia" w:ascii="仿宋" w:hAnsi="仿宋" w:eastAsia="仿宋" w:cs="Times New Roman"/>
                <w:sz w:val="28"/>
                <w:szCs w:val="28"/>
                <w14:ligatures w14:val="none"/>
              </w:rPr>
              <w:t>项目名称</w:t>
            </w:r>
          </w:p>
        </w:tc>
        <w:tc>
          <w:tcPr>
            <w:tcW w:w="968" w:type="dxa"/>
            <w:shd w:val="clear" w:color="auto" w:fill="auto"/>
            <w:vAlign w:val="center"/>
          </w:tcPr>
          <w:p w14:paraId="486C9A01">
            <w:pPr>
              <w:spacing w:after="0" w:line="240" w:lineRule="auto"/>
              <w:jc w:val="center"/>
              <w:rPr>
                <w:rFonts w:hint="eastAsia" w:ascii="仿宋" w:hAnsi="仿宋" w:eastAsia="仿宋" w:cs="Times New Roman"/>
                <w:sz w:val="28"/>
                <w:szCs w:val="28"/>
                <w14:ligatures w14:val="none"/>
              </w:rPr>
            </w:pPr>
            <w:r>
              <w:rPr>
                <w:rFonts w:hint="eastAsia" w:ascii="仿宋" w:hAnsi="仿宋" w:eastAsia="仿宋" w:cs="Times New Roman"/>
                <w:sz w:val="28"/>
                <w:szCs w:val="28"/>
                <w14:ligatures w14:val="none"/>
              </w:rPr>
              <w:t>数量</w:t>
            </w:r>
          </w:p>
        </w:tc>
        <w:tc>
          <w:tcPr>
            <w:tcW w:w="818" w:type="dxa"/>
            <w:shd w:val="clear" w:color="auto" w:fill="auto"/>
            <w:vAlign w:val="center"/>
          </w:tcPr>
          <w:p w14:paraId="095CF055">
            <w:pPr>
              <w:spacing w:after="0" w:line="240" w:lineRule="auto"/>
              <w:jc w:val="center"/>
              <w:rPr>
                <w:rFonts w:hint="eastAsia" w:ascii="仿宋" w:hAnsi="仿宋" w:eastAsia="仿宋" w:cs="Times New Roman"/>
                <w:sz w:val="28"/>
                <w:szCs w:val="28"/>
                <w14:ligatures w14:val="none"/>
              </w:rPr>
            </w:pPr>
            <w:r>
              <w:rPr>
                <w:rFonts w:hint="eastAsia" w:ascii="仿宋" w:hAnsi="仿宋" w:eastAsia="仿宋" w:cs="Times New Roman"/>
                <w:sz w:val="28"/>
                <w:szCs w:val="28"/>
                <w14:ligatures w14:val="none"/>
              </w:rPr>
              <w:t>单位</w:t>
            </w:r>
          </w:p>
        </w:tc>
        <w:tc>
          <w:tcPr>
            <w:tcW w:w="3783" w:type="dxa"/>
            <w:shd w:val="clear" w:color="auto" w:fill="auto"/>
            <w:vAlign w:val="center"/>
          </w:tcPr>
          <w:p w14:paraId="7D125835">
            <w:pPr>
              <w:spacing w:after="0" w:line="240" w:lineRule="auto"/>
              <w:jc w:val="center"/>
              <w:rPr>
                <w:rFonts w:hint="default" w:ascii="仿宋" w:hAnsi="仿宋" w:eastAsia="仿宋" w:cs="Times New Roman"/>
                <w:sz w:val="28"/>
                <w:szCs w:val="28"/>
                <w:lang w:val="en-US" w:eastAsia="zh-CN"/>
                <w14:ligatures w14:val="none"/>
              </w:rPr>
            </w:pPr>
            <w:r>
              <w:rPr>
                <w:rFonts w:hint="eastAsia" w:ascii="仿宋" w:hAnsi="仿宋" w:eastAsia="仿宋" w:cs="Times New Roman"/>
                <w:sz w:val="28"/>
                <w:szCs w:val="28"/>
                <w:lang w:val="en-US" w:eastAsia="zh-CN"/>
                <w14:ligatures w14:val="none"/>
              </w:rPr>
              <w:t>技术需求</w:t>
            </w:r>
          </w:p>
        </w:tc>
        <w:tc>
          <w:tcPr>
            <w:tcW w:w="988" w:type="dxa"/>
            <w:shd w:val="clear" w:color="auto" w:fill="auto"/>
            <w:vAlign w:val="center"/>
          </w:tcPr>
          <w:p w14:paraId="609EC18C">
            <w:pPr>
              <w:spacing w:after="0" w:line="240" w:lineRule="auto"/>
              <w:jc w:val="center"/>
              <w:rPr>
                <w:rFonts w:hint="eastAsia" w:ascii="仿宋" w:hAnsi="仿宋" w:eastAsia="仿宋" w:cs="Times New Roman"/>
                <w:sz w:val="28"/>
                <w:szCs w:val="28"/>
                <w14:ligatures w14:val="none"/>
              </w:rPr>
            </w:pPr>
            <w:r>
              <w:rPr>
                <w:rFonts w:hint="eastAsia" w:ascii="仿宋" w:hAnsi="仿宋" w:eastAsia="仿宋" w:cs="Times New Roman"/>
                <w:sz w:val="28"/>
                <w:szCs w:val="28"/>
                <w14:ligatures w14:val="none"/>
              </w:rPr>
              <w:t>备注</w:t>
            </w:r>
          </w:p>
        </w:tc>
      </w:tr>
      <w:tr w14:paraId="6E298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875" w:type="dxa"/>
            <w:shd w:val="clear" w:color="auto" w:fill="auto"/>
            <w:noWrap/>
            <w:vAlign w:val="center"/>
          </w:tcPr>
          <w:p w14:paraId="58CBC39A">
            <w:pPr>
              <w:spacing w:after="0" w:line="240" w:lineRule="auto"/>
              <w:jc w:val="center"/>
              <w:rPr>
                <w:rFonts w:hint="eastAsia" w:ascii="仿宋" w:hAnsi="仿宋" w:eastAsia="仿宋" w:cs="Times New Roman"/>
                <w:sz w:val="28"/>
                <w:szCs w:val="28"/>
                <w:lang w:val="en-US" w:eastAsia="zh-CN"/>
                <w14:ligatures w14:val="none"/>
              </w:rPr>
            </w:pPr>
            <w:r>
              <w:rPr>
                <w:rFonts w:hint="eastAsia" w:ascii="仿宋" w:hAnsi="仿宋" w:eastAsia="仿宋" w:cs="Times New Roman"/>
                <w:sz w:val="28"/>
                <w:szCs w:val="28"/>
                <w:lang w:val="en-US" w:eastAsia="zh-CN"/>
                <w14:ligatures w14:val="none"/>
              </w:rPr>
              <w:t>1</w:t>
            </w:r>
          </w:p>
        </w:tc>
        <w:tc>
          <w:tcPr>
            <w:tcW w:w="1932" w:type="dxa"/>
            <w:shd w:val="clear" w:color="auto" w:fill="auto"/>
            <w:vAlign w:val="center"/>
          </w:tcPr>
          <w:p w14:paraId="12ED1F7B">
            <w:pPr>
              <w:spacing w:after="0" w:line="240" w:lineRule="auto"/>
              <w:jc w:val="center"/>
              <w:rPr>
                <w:rFonts w:hint="eastAsia" w:ascii="仿宋" w:hAnsi="仿宋" w:eastAsia="仿宋" w:cs="Times New Roman"/>
                <w:sz w:val="28"/>
                <w:szCs w:val="28"/>
                <w14:ligatures w14:val="none"/>
              </w:rPr>
            </w:pPr>
            <w:r>
              <w:rPr>
                <w:rFonts w:hint="eastAsia" w:ascii="仿宋" w:hAnsi="仿宋" w:eastAsia="仿宋"/>
                <w:sz w:val="28"/>
                <w:szCs w:val="28"/>
                <w:lang w:val="en-US" w:eastAsia="zh-CN"/>
              </w:rPr>
              <w:t>音乐治疗评估与训练系统</w:t>
            </w:r>
          </w:p>
        </w:tc>
        <w:tc>
          <w:tcPr>
            <w:tcW w:w="968" w:type="dxa"/>
            <w:shd w:val="clear" w:color="auto" w:fill="auto"/>
            <w:vAlign w:val="center"/>
          </w:tcPr>
          <w:p w14:paraId="2775CA65">
            <w:pPr>
              <w:spacing w:after="0" w:line="240" w:lineRule="auto"/>
              <w:jc w:val="center"/>
              <w:rPr>
                <w:rFonts w:hint="eastAsia" w:ascii="仿宋" w:hAnsi="仿宋" w:eastAsia="仿宋" w:cs="Times New Roman"/>
                <w:sz w:val="28"/>
                <w:szCs w:val="28"/>
                <w:lang w:val="en-US" w:eastAsia="zh-CN"/>
                <w14:ligatures w14:val="none"/>
              </w:rPr>
            </w:pPr>
            <w:r>
              <w:rPr>
                <w:rFonts w:hint="eastAsia" w:ascii="仿宋" w:hAnsi="仿宋" w:eastAsia="仿宋" w:cs="Times New Roman"/>
                <w:sz w:val="28"/>
                <w:szCs w:val="28"/>
                <w:lang w:val="en-US" w:eastAsia="zh-CN"/>
                <w14:ligatures w14:val="none"/>
              </w:rPr>
              <w:t>1</w:t>
            </w:r>
          </w:p>
        </w:tc>
        <w:tc>
          <w:tcPr>
            <w:tcW w:w="818" w:type="dxa"/>
            <w:shd w:val="clear" w:color="auto" w:fill="auto"/>
            <w:vAlign w:val="center"/>
          </w:tcPr>
          <w:p w14:paraId="06B619DF">
            <w:pPr>
              <w:spacing w:after="0" w:line="240" w:lineRule="auto"/>
              <w:jc w:val="center"/>
              <w:rPr>
                <w:rFonts w:hint="eastAsia" w:ascii="仿宋" w:hAnsi="仿宋" w:eastAsia="仿宋" w:cs="Times New Roman"/>
                <w:sz w:val="28"/>
                <w:szCs w:val="28"/>
                <w:lang w:val="en-US" w:eastAsia="zh-CN"/>
                <w14:ligatures w14:val="none"/>
              </w:rPr>
            </w:pPr>
            <w:r>
              <w:rPr>
                <w:rFonts w:hint="eastAsia" w:ascii="仿宋" w:hAnsi="仿宋" w:eastAsia="仿宋" w:cs="Times New Roman"/>
                <w:sz w:val="28"/>
                <w:szCs w:val="28"/>
                <w:lang w:val="en-US" w:eastAsia="zh-CN"/>
                <w14:ligatures w14:val="none"/>
              </w:rPr>
              <w:t>套</w:t>
            </w:r>
          </w:p>
        </w:tc>
        <w:tc>
          <w:tcPr>
            <w:tcW w:w="3783" w:type="dxa"/>
            <w:shd w:val="clear" w:color="auto" w:fill="auto"/>
            <w:vAlign w:val="center"/>
          </w:tcPr>
          <w:p w14:paraId="16732B08">
            <w:pPr>
              <w:jc w:val="left"/>
              <w:rPr>
                <w:rFonts w:hint="eastAsia" w:ascii="仿宋" w:hAnsi="仿宋" w:eastAsia="仿宋" w:cs="仿宋"/>
              </w:rPr>
            </w:pPr>
            <w:r>
              <w:rPr>
                <w:rFonts w:hint="eastAsia" w:ascii="仿宋" w:hAnsi="仿宋" w:eastAsia="仿宋" w:cs="仿宋"/>
                <w:lang w:val="en-US" w:eastAsia="zh-CN"/>
              </w:rPr>
              <w:t>一、</w:t>
            </w:r>
            <w:r>
              <w:rPr>
                <w:rFonts w:hint="eastAsia" w:ascii="仿宋" w:hAnsi="仿宋" w:eastAsia="仿宋" w:cs="仿宋"/>
              </w:rPr>
              <w:t>音乐治疗评估</w:t>
            </w:r>
          </w:p>
          <w:p w14:paraId="0BA6C644">
            <w:pPr>
              <w:spacing w:after="0" w:line="240" w:lineRule="auto"/>
              <w:jc w:val="left"/>
              <w:rPr>
                <w:rFonts w:hint="eastAsia" w:ascii="仿宋" w:hAnsi="仿宋" w:eastAsia="仿宋" w:cs="Times New Roman"/>
                <w:sz w:val="21"/>
                <w:szCs w:val="21"/>
                <w14:ligatures w14:val="none"/>
              </w:rPr>
            </w:pPr>
            <w:r>
              <w:rPr>
                <w:rFonts w:hint="eastAsia" w:ascii="仿宋" w:hAnsi="仿宋" w:eastAsia="仿宋" w:cs="Times New Roman"/>
                <w:sz w:val="21"/>
                <w:szCs w:val="21"/>
                <w14:ligatures w14:val="none"/>
              </w:rPr>
              <w:t>1、音乐治疗评估采用音乐治疗的综合评估技术，实现首次评估以及持续评估，以此参与音乐治疗评估活动实现了解来访者能力水平。</w:t>
            </w:r>
          </w:p>
          <w:p w14:paraId="1E47BEA0">
            <w:pPr>
              <w:spacing w:after="0" w:line="240" w:lineRule="auto"/>
              <w:jc w:val="left"/>
              <w:rPr>
                <w:rFonts w:hint="eastAsia" w:ascii="仿宋" w:hAnsi="仿宋" w:eastAsia="仿宋" w:cs="Times New Roman"/>
                <w:sz w:val="21"/>
                <w:szCs w:val="21"/>
                <w14:ligatures w14:val="none"/>
              </w:rPr>
            </w:pPr>
            <w:r>
              <w:rPr>
                <w:rFonts w:hint="eastAsia" w:ascii="仿宋" w:hAnsi="仿宋" w:eastAsia="仿宋" w:cs="Times New Roman"/>
                <w:sz w:val="21"/>
                <w:szCs w:val="21"/>
                <w14:ligatures w14:val="none"/>
              </w:rPr>
              <w:t>2、音乐治疗评估采用Frequency Recording、Duration Recording两种记录方式，结合SOAP原则中的Subjective原则和Objective原则，以实现记录来访者评估数据。</w:t>
            </w:r>
          </w:p>
          <w:p w14:paraId="3937EDA0">
            <w:pPr>
              <w:spacing w:after="0" w:line="240" w:lineRule="auto"/>
              <w:jc w:val="left"/>
              <w:rPr>
                <w:rFonts w:hint="eastAsia" w:ascii="仿宋" w:hAnsi="仿宋" w:eastAsia="仿宋" w:cs="Times New Roman"/>
                <w:sz w:val="21"/>
                <w:szCs w:val="21"/>
                <w14:ligatures w14:val="none"/>
              </w:rPr>
            </w:pPr>
            <w:r>
              <w:rPr>
                <w:rFonts w:hint="eastAsia" w:ascii="仿宋" w:hAnsi="仿宋" w:eastAsia="仿宋" w:cs="Times New Roman"/>
                <w:sz w:val="21"/>
                <w:szCs w:val="21"/>
                <w14:ligatures w14:val="none"/>
              </w:rPr>
              <w:t>3、音乐治疗评估视频演示内容采用音乐治疗镜像技术，同时评估与训练内容均采用正向评价原则，进行正向的强化。</w:t>
            </w:r>
          </w:p>
          <w:p w14:paraId="2AABABD7">
            <w:pPr>
              <w:spacing w:after="0" w:line="240" w:lineRule="auto"/>
              <w:jc w:val="left"/>
              <w:rPr>
                <w:rFonts w:hint="eastAsia" w:ascii="仿宋" w:hAnsi="仿宋" w:eastAsia="仿宋" w:cs="Times New Roman"/>
                <w:sz w:val="21"/>
                <w:szCs w:val="21"/>
                <w14:ligatures w14:val="none"/>
              </w:rPr>
            </w:pPr>
            <w:r>
              <w:rPr>
                <w:rFonts w:hint="eastAsia" w:ascii="仿宋" w:hAnsi="仿宋" w:eastAsia="仿宋" w:cs="Times New Roman"/>
                <w:sz w:val="21"/>
                <w:szCs w:val="21"/>
                <w14:ligatures w14:val="none"/>
              </w:rPr>
              <w:t>4、音乐治疗评估共分为初、中、高三个难度等级，每个难度级别内均包含不少于五个精心设计的评估活动，进行全面而精准的音乐治疗评估。</w:t>
            </w:r>
          </w:p>
          <w:p w14:paraId="67B5AEA7">
            <w:pPr>
              <w:spacing w:after="0" w:line="240" w:lineRule="auto"/>
              <w:jc w:val="left"/>
              <w:rPr>
                <w:rFonts w:hint="eastAsia" w:ascii="仿宋" w:hAnsi="仿宋" w:eastAsia="仿宋" w:cs="Times New Roman"/>
                <w:sz w:val="21"/>
                <w:szCs w:val="21"/>
                <w14:ligatures w14:val="none"/>
              </w:rPr>
            </w:pPr>
            <w:r>
              <w:rPr>
                <w:rFonts w:hint="eastAsia" w:ascii="仿宋" w:hAnsi="仿宋" w:eastAsia="仿宋" w:cs="Times New Roman"/>
                <w:sz w:val="21"/>
                <w:szCs w:val="21"/>
                <w14:ligatures w14:val="none"/>
              </w:rPr>
              <w:t>5、音乐治疗评估初级版块</w:t>
            </w:r>
          </w:p>
          <w:p w14:paraId="07F95E93">
            <w:pPr>
              <w:spacing w:after="0" w:line="240" w:lineRule="auto"/>
              <w:jc w:val="left"/>
              <w:rPr>
                <w:rFonts w:hint="eastAsia" w:ascii="仿宋" w:hAnsi="仿宋" w:eastAsia="仿宋" w:cs="Times New Roman"/>
                <w:sz w:val="21"/>
                <w:szCs w:val="21"/>
                <w14:ligatures w14:val="none"/>
              </w:rPr>
            </w:pPr>
            <w:r>
              <w:rPr>
                <w:rFonts w:hint="eastAsia" w:ascii="仿宋" w:hAnsi="仿宋" w:eastAsia="仿宋" w:cs="Times New Roman"/>
                <w:sz w:val="21"/>
                <w:szCs w:val="21"/>
                <w14:ligatures w14:val="none"/>
              </w:rPr>
              <w:t>（1）进入初级评估版块，其中具有智能评估和自主评估两种形式，针对认知、听觉、语言、运动、社交、感知六大能力进行评估，具有的评估项目不少于8项。</w:t>
            </w:r>
          </w:p>
          <w:p w14:paraId="03653A0D">
            <w:pPr>
              <w:spacing w:after="0" w:line="240" w:lineRule="auto"/>
              <w:jc w:val="left"/>
              <w:rPr>
                <w:rFonts w:hint="eastAsia" w:ascii="仿宋" w:hAnsi="仿宋" w:eastAsia="仿宋" w:cs="Times New Roman"/>
                <w:sz w:val="21"/>
                <w:szCs w:val="21"/>
                <w14:ligatures w14:val="none"/>
              </w:rPr>
            </w:pPr>
            <w:r>
              <w:rPr>
                <w:rFonts w:hint="eastAsia" w:ascii="仿宋" w:hAnsi="仿宋" w:eastAsia="仿宋" w:cs="Times New Roman"/>
                <w:sz w:val="21"/>
                <w:szCs w:val="21"/>
                <w14:ligatures w14:val="none"/>
              </w:rPr>
              <w:t>（2）教师播放软件素材，引导学生观看动画和真人录制演奏乐器示范视频，学生跟随动画视频做出反应，观察学生的表现评定能力等级。</w:t>
            </w:r>
          </w:p>
          <w:p w14:paraId="4192DDCC">
            <w:pPr>
              <w:spacing w:after="0" w:line="240" w:lineRule="auto"/>
              <w:jc w:val="left"/>
              <w:rPr>
                <w:rFonts w:hint="eastAsia" w:ascii="仿宋" w:hAnsi="仿宋" w:eastAsia="仿宋" w:cs="Times New Roman"/>
                <w:sz w:val="21"/>
                <w:szCs w:val="21"/>
                <w14:ligatures w14:val="none"/>
              </w:rPr>
            </w:pPr>
            <w:r>
              <w:rPr>
                <w:rFonts w:hint="eastAsia" w:ascii="仿宋" w:hAnsi="仿宋" w:eastAsia="仿宋" w:cs="Times New Roman"/>
                <w:sz w:val="21"/>
                <w:szCs w:val="21"/>
                <w14:ligatures w14:val="none"/>
              </w:rPr>
              <w:t>（3）教师播放软件素材，引导学生观看动画，真人录制的练声及歌曲音频，学生跟随动画音频做出反应，观察学生的表现评定能力等级。</w:t>
            </w:r>
          </w:p>
          <w:p w14:paraId="2F2261FF">
            <w:pPr>
              <w:spacing w:after="0" w:line="240" w:lineRule="auto"/>
              <w:jc w:val="left"/>
              <w:rPr>
                <w:rFonts w:hint="eastAsia" w:ascii="仿宋" w:hAnsi="仿宋" w:eastAsia="仿宋" w:cs="Times New Roman"/>
                <w:sz w:val="21"/>
                <w:szCs w:val="21"/>
                <w14:ligatures w14:val="none"/>
              </w:rPr>
            </w:pPr>
            <w:r>
              <w:rPr>
                <w:rFonts w:hint="eastAsia" w:ascii="仿宋" w:hAnsi="仿宋" w:eastAsia="仿宋" w:cs="Times New Roman"/>
                <w:sz w:val="21"/>
                <w:szCs w:val="21"/>
                <w14:ligatures w14:val="none"/>
              </w:rPr>
              <w:t>（4）教师播放软件素材，引导学生观看动画和真人录制舞蹈示范视频，学生跟随动画视频做出反应，观察学生的表现评定能力等级。</w:t>
            </w:r>
          </w:p>
          <w:p w14:paraId="0D857299">
            <w:pPr>
              <w:spacing w:after="0" w:line="240" w:lineRule="auto"/>
              <w:jc w:val="left"/>
              <w:rPr>
                <w:rFonts w:hint="eastAsia" w:ascii="仿宋" w:hAnsi="仿宋" w:eastAsia="仿宋" w:cs="Times New Roman"/>
                <w:sz w:val="21"/>
                <w:szCs w:val="21"/>
                <w14:ligatures w14:val="none"/>
              </w:rPr>
            </w:pPr>
            <w:r>
              <w:rPr>
                <w:rFonts w:hint="eastAsia" w:ascii="仿宋" w:hAnsi="仿宋" w:eastAsia="仿宋" w:cs="Times New Roman"/>
                <w:sz w:val="21"/>
                <w:szCs w:val="21"/>
                <w14:ligatures w14:val="none"/>
              </w:rPr>
              <w:t>6、进入中级评估版块，其中具有智能评估和自主评估两种形式，针对认知、听觉、语言、运动、社交、感知六大能力进行评估，具有的评估项目不少于7项。</w:t>
            </w:r>
          </w:p>
          <w:p w14:paraId="269E12FA">
            <w:pPr>
              <w:spacing w:after="0" w:line="240" w:lineRule="auto"/>
              <w:jc w:val="left"/>
              <w:rPr>
                <w:rFonts w:hint="eastAsia" w:ascii="仿宋" w:hAnsi="仿宋" w:eastAsia="仿宋" w:cs="Times New Roman"/>
                <w:sz w:val="21"/>
                <w:szCs w:val="21"/>
                <w14:ligatures w14:val="none"/>
              </w:rPr>
            </w:pPr>
            <w:r>
              <w:rPr>
                <w:rFonts w:hint="eastAsia" w:ascii="仿宋" w:hAnsi="仿宋" w:eastAsia="仿宋" w:cs="Times New Roman"/>
                <w:sz w:val="21"/>
                <w:szCs w:val="21"/>
                <w14:ligatures w14:val="none"/>
              </w:rPr>
              <w:t>7、进入高级评估版块，其中具有智能评估和自主评估两种形式，针对认知、听觉、语言、运动、社交、感知六大能力进行评估，具有的评估项目不少于10项。</w:t>
            </w:r>
          </w:p>
          <w:p w14:paraId="2E945BB1">
            <w:pPr>
              <w:spacing w:after="0" w:line="240" w:lineRule="auto"/>
              <w:jc w:val="left"/>
              <w:rPr>
                <w:rFonts w:hint="eastAsia" w:ascii="仿宋" w:hAnsi="仿宋" w:eastAsia="仿宋" w:cs="Times New Roman"/>
                <w:sz w:val="21"/>
                <w:szCs w:val="21"/>
                <w14:ligatures w14:val="none"/>
              </w:rPr>
            </w:pPr>
            <w:r>
              <w:rPr>
                <w:rFonts w:hint="eastAsia" w:ascii="仿宋" w:hAnsi="仿宋" w:eastAsia="仿宋" w:cs="Times New Roman"/>
                <w:sz w:val="21"/>
                <w:szCs w:val="21"/>
                <w14:ligatures w14:val="none"/>
              </w:rPr>
              <w:t>8、选择智能评估，智能评估活动为不间断的连续性评估，能够针对认知、语言、听觉、运动、感知以及社交六大能力进行评估。</w:t>
            </w:r>
          </w:p>
          <w:p w14:paraId="5E6BA445">
            <w:pPr>
              <w:spacing w:after="0" w:line="240" w:lineRule="auto"/>
              <w:jc w:val="left"/>
              <w:rPr>
                <w:rFonts w:hint="eastAsia" w:ascii="仿宋" w:hAnsi="仿宋" w:eastAsia="仿宋" w:cs="Times New Roman"/>
                <w:sz w:val="21"/>
                <w:szCs w:val="21"/>
                <w14:ligatures w14:val="none"/>
              </w:rPr>
            </w:pPr>
            <w:r>
              <w:rPr>
                <w:rFonts w:hint="eastAsia" w:ascii="仿宋" w:hAnsi="仿宋" w:eastAsia="仿宋" w:cs="Times New Roman"/>
                <w:sz w:val="21"/>
                <w:szCs w:val="21"/>
                <w14:ligatures w14:val="none"/>
              </w:rPr>
              <w:t>9、进入自主评估，自定义选择需要评估的功能项目进行评估。评估结果具有四个等级，根据学生具体情况，点击选择等级进行评分，评估记录内可以显示评估数据及评估结果。</w:t>
            </w:r>
          </w:p>
          <w:p w14:paraId="08F32B11">
            <w:pPr>
              <w:spacing w:after="0" w:line="240" w:lineRule="auto"/>
              <w:jc w:val="left"/>
              <w:rPr>
                <w:rFonts w:hint="eastAsia" w:ascii="仿宋" w:hAnsi="仿宋" w:eastAsia="仿宋" w:cs="Times New Roman"/>
                <w:sz w:val="21"/>
                <w:szCs w:val="21"/>
                <w14:ligatures w14:val="none"/>
              </w:rPr>
            </w:pPr>
            <w:r>
              <w:rPr>
                <w:rFonts w:hint="eastAsia" w:ascii="仿宋" w:hAnsi="仿宋" w:eastAsia="仿宋" w:cs="Times New Roman"/>
                <w:sz w:val="21"/>
                <w:szCs w:val="21"/>
                <w14:ligatures w14:val="none"/>
              </w:rPr>
              <w:t>10、评估记录的选择包含智能评估记录和自主评估记录两种,可在评估记录中选择要查阅的评估报告单。</w:t>
            </w:r>
          </w:p>
          <w:p w14:paraId="3C9CC9E5">
            <w:pPr>
              <w:spacing w:after="0" w:line="240" w:lineRule="auto"/>
              <w:jc w:val="left"/>
              <w:rPr>
                <w:rFonts w:hint="eastAsia" w:ascii="仿宋" w:hAnsi="仿宋" w:eastAsia="仿宋" w:cs="Times New Roman"/>
                <w:sz w:val="21"/>
                <w:szCs w:val="21"/>
                <w14:ligatures w14:val="none"/>
              </w:rPr>
            </w:pPr>
            <w:r>
              <w:rPr>
                <w:rFonts w:hint="eastAsia" w:ascii="仿宋" w:hAnsi="仿宋" w:eastAsia="仿宋" w:cs="Times New Roman"/>
                <w:sz w:val="21"/>
                <w:szCs w:val="21"/>
                <w14:ligatures w14:val="none"/>
              </w:rPr>
              <w:t>11、评估报告单内置基本信息、评估项目、评估结果分析、训练建议等，训练建议中的活动与训练版块的课程内容匹配。</w:t>
            </w:r>
          </w:p>
          <w:p w14:paraId="202BDE47">
            <w:pPr>
              <w:spacing w:after="0" w:line="240" w:lineRule="auto"/>
              <w:jc w:val="left"/>
              <w:rPr>
                <w:rFonts w:hint="eastAsia" w:ascii="仿宋" w:hAnsi="仿宋" w:eastAsia="仿宋" w:cs="Times New Roman"/>
                <w:sz w:val="21"/>
                <w:szCs w:val="21"/>
                <w14:ligatures w14:val="none"/>
              </w:rPr>
            </w:pPr>
            <w:r>
              <w:rPr>
                <w:rFonts w:hint="eastAsia" w:ascii="仿宋" w:hAnsi="仿宋" w:eastAsia="仿宋" w:cs="Times New Roman"/>
                <w:sz w:val="21"/>
                <w:szCs w:val="21"/>
                <w14:ligatures w14:val="none"/>
              </w:rPr>
              <w:t>12、智能评估记录所有功能评估项目的结果，自主评估记录所选项目的结果，利用柱状图形展现评估数据。</w:t>
            </w:r>
          </w:p>
          <w:p w14:paraId="5C763FA4">
            <w:pPr>
              <w:spacing w:after="0" w:line="240" w:lineRule="auto"/>
              <w:jc w:val="left"/>
              <w:rPr>
                <w:rFonts w:hint="eastAsia" w:ascii="仿宋" w:hAnsi="仿宋" w:eastAsia="仿宋" w:cs="Times New Roman"/>
                <w:sz w:val="21"/>
                <w:szCs w:val="21"/>
                <w14:ligatures w14:val="none"/>
              </w:rPr>
            </w:pPr>
            <w:r>
              <w:rPr>
                <w:rFonts w:hint="eastAsia" w:ascii="仿宋" w:hAnsi="仿宋" w:eastAsia="仿宋" w:cs="Times New Roman"/>
                <w:sz w:val="21"/>
                <w:szCs w:val="21"/>
                <w14:ligatures w14:val="none"/>
              </w:rPr>
              <w:t>二</w:t>
            </w:r>
            <w:r>
              <w:rPr>
                <w:rFonts w:hint="eastAsia" w:ascii="仿宋" w:hAnsi="仿宋" w:eastAsia="仿宋" w:cs="Times New Roman"/>
                <w:sz w:val="21"/>
                <w:szCs w:val="21"/>
                <w:lang w:eastAsia="zh-CN"/>
                <w14:ligatures w14:val="none"/>
              </w:rPr>
              <w:t>、</w:t>
            </w:r>
            <w:r>
              <w:rPr>
                <w:rFonts w:hint="eastAsia" w:ascii="仿宋" w:hAnsi="仿宋" w:eastAsia="仿宋" w:cs="Times New Roman"/>
                <w:sz w:val="21"/>
                <w:szCs w:val="21"/>
                <w14:ligatures w14:val="none"/>
              </w:rPr>
              <w:t>音乐治疗训练</w:t>
            </w:r>
          </w:p>
          <w:p w14:paraId="4A8BEC9C">
            <w:pPr>
              <w:spacing w:after="0" w:line="240" w:lineRule="auto"/>
              <w:jc w:val="left"/>
              <w:rPr>
                <w:rFonts w:hint="eastAsia" w:ascii="仿宋" w:hAnsi="仿宋" w:eastAsia="仿宋" w:cs="Times New Roman"/>
                <w:sz w:val="21"/>
                <w:szCs w:val="21"/>
                <w14:ligatures w14:val="none"/>
              </w:rPr>
            </w:pPr>
            <w:r>
              <w:rPr>
                <w:rFonts w:hint="eastAsia" w:ascii="仿宋" w:hAnsi="仿宋" w:eastAsia="仿宋" w:cs="Times New Roman"/>
                <w:sz w:val="21"/>
                <w:szCs w:val="21"/>
                <w14:ligatures w14:val="none"/>
              </w:rPr>
              <w:t>1、音乐治疗训练内视频演示内容采用音乐治疗镜像技术，同时评估与训练内容均采用正向评价原则，进行正向的强化。</w:t>
            </w:r>
          </w:p>
          <w:p w14:paraId="6FC71B38">
            <w:pPr>
              <w:spacing w:after="0" w:line="240" w:lineRule="auto"/>
              <w:jc w:val="left"/>
              <w:rPr>
                <w:rFonts w:hint="eastAsia" w:ascii="仿宋" w:hAnsi="仿宋" w:eastAsia="仿宋" w:cs="Times New Roman"/>
                <w:sz w:val="21"/>
                <w:szCs w:val="21"/>
                <w14:ligatures w14:val="none"/>
              </w:rPr>
            </w:pPr>
            <w:r>
              <w:rPr>
                <w:rFonts w:hint="eastAsia" w:ascii="仿宋" w:hAnsi="仿宋" w:eastAsia="仿宋" w:cs="Times New Roman"/>
                <w:sz w:val="21"/>
                <w:szCs w:val="21"/>
                <w14:ligatures w14:val="none"/>
              </w:rPr>
              <w:t>2、音乐治疗训练内使用能够激发学生镜像神经元的框架模式，实现提升学生的认知、语言、粗大动作、精细动作、听觉感知、感知能力七大能力。</w:t>
            </w:r>
          </w:p>
          <w:p w14:paraId="4A40C12F">
            <w:pPr>
              <w:spacing w:after="0" w:line="240" w:lineRule="auto"/>
              <w:jc w:val="left"/>
              <w:rPr>
                <w:rFonts w:hint="eastAsia" w:ascii="仿宋" w:hAnsi="仿宋" w:eastAsia="仿宋" w:cs="Times New Roman"/>
                <w:sz w:val="21"/>
                <w:szCs w:val="21"/>
                <w14:ligatures w14:val="none"/>
              </w:rPr>
            </w:pPr>
            <w:r>
              <w:rPr>
                <w:rFonts w:hint="eastAsia" w:ascii="仿宋" w:hAnsi="仿宋" w:eastAsia="仿宋" w:cs="Times New Roman"/>
                <w:sz w:val="21"/>
                <w:szCs w:val="21"/>
                <w14:ligatures w14:val="none"/>
              </w:rPr>
              <w:t>3、音乐治疗训练内认知语言中的语言训练内容，采用音乐治疗MIT旋律音调治疗技术以及音乐言语治疗技术，利用右脑未受损伤的音乐能力，以此技术实现提升来访者语言水平能力。</w:t>
            </w:r>
          </w:p>
          <w:p w14:paraId="522C3AF5">
            <w:pPr>
              <w:spacing w:after="0" w:line="240" w:lineRule="auto"/>
              <w:jc w:val="left"/>
              <w:rPr>
                <w:rFonts w:hint="eastAsia" w:ascii="仿宋" w:hAnsi="仿宋" w:eastAsia="仿宋" w:cs="Times New Roman"/>
                <w:sz w:val="21"/>
                <w:szCs w:val="21"/>
                <w14:ligatures w14:val="none"/>
              </w:rPr>
            </w:pPr>
            <w:r>
              <w:rPr>
                <w:rFonts w:hint="eastAsia" w:ascii="仿宋" w:hAnsi="仿宋" w:eastAsia="仿宋" w:cs="Times New Roman"/>
                <w:sz w:val="21"/>
                <w:szCs w:val="21"/>
                <w14:ligatures w14:val="none"/>
              </w:rPr>
              <w:t>4、音乐治疗训练内含有三个以上的经过再创造音乐治疗技术设计的乐曲。</w:t>
            </w:r>
          </w:p>
          <w:p w14:paraId="052272C5">
            <w:pPr>
              <w:spacing w:after="0" w:line="240" w:lineRule="auto"/>
              <w:jc w:val="left"/>
              <w:rPr>
                <w:rFonts w:hint="eastAsia" w:ascii="仿宋" w:hAnsi="仿宋" w:eastAsia="仿宋" w:cs="Times New Roman"/>
                <w:sz w:val="21"/>
                <w:szCs w:val="21"/>
                <w14:ligatures w14:val="none"/>
              </w:rPr>
            </w:pPr>
            <w:r>
              <w:rPr>
                <w:rFonts w:hint="eastAsia" w:ascii="仿宋" w:hAnsi="仿宋" w:eastAsia="仿宋" w:cs="Times New Roman"/>
                <w:sz w:val="21"/>
                <w:szCs w:val="21"/>
                <w14:ligatures w14:val="none"/>
              </w:rPr>
              <w:t>5、音乐治疗训练内社会交往训练内容，包含有同一性、合唱式、结构性非语言轮流、结构性语言轮流四种团体治疗形式。</w:t>
            </w:r>
          </w:p>
          <w:p w14:paraId="57005B11">
            <w:pPr>
              <w:spacing w:after="0" w:line="240" w:lineRule="auto"/>
              <w:jc w:val="left"/>
              <w:rPr>
                <w:rFonts w:hint="eastAsia" w:ascii="仿宋" w:hAnsi="仿宋" w:eastAsia="仿宋" w:cs="Times New Roman"/>
                <w:sz w:val="21"/>
                <w:szCs w:val="21"/>
                <w14:ligatures w14:val="none"/>
              </w:rPr>
            </w:pPr>
            <w:r>
              <w:rPr>
                <w:rFonts w:hint="eastAsia" w:ascii="仿宋" w:hAnsi="仿宋" w:eastAsia="仿宋" w:cs="Times New Roman"/>
                <w:sz w:val="21"/>
                <w:szCs w:val="21"/>
                <w14:ligatures w14:val="none"/>
              </w:rPr>
              <w:t>6、音乐治疗训练内感知觉运动训练内容，含有治疗性乐器演奏和感觉模式加强技术，针对感觉、知觉、粗大动作、精细动作四个目标能力，采用同质原则实现感知觉运动能力的提升。</w:t>
            </w:r>
          </w:p>
          <w:p w14:paraId="6F80792B">
            <w:pPr>
              <w:spacing w:after="0" w:line="240" w:lineRule="auto"/>
              <w:jc w:val="left"/>
              <w:rPr>
                <w:rFonts w:hint="eastAsia" w:ascii="仿宋" w:hAnsi="仿宋" w:eastAsia="仿宋" w:cs="Times New Roman"/>
                <w:sz w:val="21"/>
                <w:szCs w:val="21"/>
                <w14:ligatures w14:val="none"/>
              </w:rPr>
            </w:pPr>
            <w:r>
              <w:rPr>
                <w:rFonts w:hint="eastAsia" w:ascii="仿宋" w:hAnsi="仿宋" w:eastAsia="仿宋" w:cs="Times New Roman"/>
                <w:sz w:val="21"/>
                <w:szCs w:val="21"/>
                <w14:ligatures w14:val="none"/>
              </w:rPr>
              <w:t>7、音乐治疗训练和音乐治疗评估实现音乐治疗实施治疗中的SOAP原则以及APIE原则，通过此两个原则实现评估与治疗的统一与针对性。</w:t>
            </w:r>
          </w:p>
          <w:p w14:paraId="01AD1255">
            <w:pPr>
              <w:spacing w:after="0" w:line="240" w:lineRule="auto"/>
              <w:jc w:val="left"/>
              <w:rPr>
                <w:rFonts w:hint="eastAsia" w:ascii="仿宋" w:hAnsi="仿宋" w:eastAsia="仿宋" w:cs="Times New Roman"/>
                <w:sz w:val="21"/>
                <w:szCs w:val="21"/>
                <w14:ligatures w14:val="none"/>
              </w:rPr>
            </w:pPr>
            <w:r>
              <w:rPr>
                <w:rFonts w:hint="eastAsia" w:ascii="仿宋" w:hAnsi="仿宋" w:eastAsia="仿宋" w:cs="Times New Roman"/>
                <w:sz w:val="21"/>
                <w:szCs w:val="21"/>
                <w14:ligatures w14:val="none"/>
              </w:rPr>
              <w:t>8、音乐治疗训练内，结合了鲁道夫-罗宾逊音乐疗法技术，以此设计了针对性的音乐活动。</w:t>
            </w:r>
          </w:p>
          <w:p w14:paraId="730AD5B8">
            <w:pPr>
              <w:spacing w:after="0" w:line="240" w:lineRule="auto"/>
              <w:jc w:val="left"/>
              <w:rPr>
                <w:rFonts w:hint="eastAsia" w:ascii="仿宋" w:hAnsi="仿宋" w:eastAsia="仿宋" w:cs="Times New Roman"/>
                <w:sz w:val="21"/>
                <w:szCs w:val="21"/>
                <w14:ligatures w14:val="none"/>
              </w:rPr>
            </w:pPr>
            <w:r>
              <w:rPr>
                <w:rFonts w:hint="eastAsia" w:ascii="仿宋" w:hAnsi="仿宋" w:eastAsia="仿宋" w:cs="Times New Roman"/>
                <w:sz w:val="21"/>
                <w:szCs w:val="21"/>
                <w14:ligatures w14:val="none"/>
              </w:rPr>
              <w:t>9、音乐治疗训练</w:t>
            </w:r>
            <w:r>
              <w:rPr>
                <w:rFonts w:hint="eastAsia" w:ascii="仿宋" w:hAnsi="仿宋" w:eastAsia="仿宋" w:cs="Times New Roman"/>
                <w:sz w:val="21"/>
                <w:szCs w:val="21"/>
                <w:lang w:val="en-US" w:eastAsia="zh-CN"/>
                <w14:ligatures w14:val="none"/>
              </w:rPr>
              <w:t>是</w:t>
            </w:r>
            <w:r>
              <w:rPr>
                <w:rFonts w:hint="eastAsia" w:ascii="仿宋" w:hAnsi="仿宋" w:eastAsia="仿宋" w:cs="Times New Roman"/>
                <w:sz w:val="21"/>
                <w:szCs w:val="21"/>
                <w14:ligatures w14:val="none"/>
              </w:rPr>
              <w:t>由感知觉运动能力训练、认知语言训练以及社会交往训练三大核心板块构成，含有不少于三十篇的训练方案，每项训练方案提供了不少于两种的长短期目标选项，全面覆盖并强化探索木屋评估板块所评估出的各项能力。</w:t>
            </w:r>
          </w:p>
          <w:p w14:paraId="322E69DA">
            <w:pPr>
              <w:spacing w:after="0" w:line="240" w:lineRule="auto"/>
              <w:jc w:val="left"/>
              <w:rPr>
                <w:rFonts w:hint="eastAsia" w:ascii="仿宋" w:hAnsi="仿宋" w:eastAsia="仿宋" w:cs="Times New Roman"/>
                <w:sz w:val="21"/>
                <w:szCs w:val="21"/>
                <w14:ligatures w14:val="none"/>
              </w:rPr>
            </w:pPr>
            <w:r>
              <w:rPr>
                <w:rFonts w:hint="eastAsia" w:ascii="仿宋" w:hAnsi="仿宋" w:eastAsia="仿宋" w:cs="Times New Roman"/>
                <w:sz w:val="21"/>
                <w:szCs w:val="21"/>
                <w14:ligatures w14:val="none"/>
              </w:rPr>
              <w:t>10、音乐治疗训练</w:t>
            </w:r>
          </w:p>
          <w:p w14:paraId="6C25AB45">
            <w:pPr>
              <w:spacing w:after="0" w:line="240" w:lineRule="auto"/>
              <w:jc w:val="left"/>
              <w:rPr>
                <w:rFonts w:hint="eastAsia" w:ascii="仿宋" w:hAnsi="仿宋" w:eastAsia="仿宋" w:cs="Times New Roman"/>
                <w:sz w:val="21"/>
                <w:szCs w:val="21"/>
                <w14:ligatures w14:val="none"/>
              </w:rPr>
            </w:pPr>
            <w:r>
              <w:rPr>
                <w:rFonts w:hint="eastAsia" w:ascii="仿宋" w:hAnsi="仿宋" w:eastAsia="仿宋" w:cs="Times New Roman"/>
                <w:sz w:val="21"/>
                <w:szCs w:val="21"/>
                <w14:ligatures w14:val="none"/>
              </w:rPr>
              <w:t>（1）感知觉训练版块具有不少于八种训练类型，包含触觉训练、上肢训练、精细动作训练、听觉训练和综合训练等，训练课程内容不少于十节。</w:t>
            </w:r>
          </w:p>
          <w:p w14:paraId="09B8A158">
            <w:pPr>
              <w:spacing w:after="0" w:line="240" w:lineRule="auto"/>
              <w:jc w:val="left"/>
              <w:rPr>
                <w:rFonts w:hint="eastAsia" w:ascii="仿宋" w:hAnsi="仿宋" w:eastAsia="仿宋" w:cs="Times New Roman"/>
                <w:sz w:val="21"/>
                <w:szCs w:val="21"/>
                <w14:ligatures w14:val="none"/>
              </w:rPr>
            </w:pPr>
            <w:r>
              <w:rPr>
                <w:rFonts w:hint="eastAsia" w:ascii="仿宋" w:hAnsi="仿宋" w:eastAsia="仿宋" w:cs="Times New Roman"/>
                <w:sz w:val="21"/>
                <w:szCs w:val="21"/>
                <w14:ligatures w14:val="none"/>
              </w:rPr>
              <w:t>（2）听觉训练版块针对特需儿童听觉训练和听觉分辨两方面进行训练，提升儿童听觉能力。</w:t>
            </w:r>
          </w:p>
          <w:p w14:paraId="2C580D29">
            <w:pPr>
              <w:spacing w:after="0" w:line="240" w:lineRule="auto"/>
              <w:jc w:val="left"/>
              <w:rPr>
                <w:rFonts w:hint="eastAsia" w:ascii="仿宋" w:hAnsi="仿宋" w:eastAsia="仿宋" w:cs="Times New Roman"/>
                <w:sz w:val="21"/>
                <w:szCs w:val="21"/>
                <w14:ligatures w14:val="none"/>
              </w:rPr>
            </w:pPr>
            <w:r>
              <w:rPr>
                <w:rFonts w:hint="eastAsia" w:ascii="仿宋" w:hAnsi="仿宋" w:eastAsia="仿宋" w:cs="Times New Roman"/>
                <w:sz w:val="21"/>
                <w:szCs w:val="21"/>
                <w14:ligatures w14:val="none"/>
              </w:rPr>
              <w:t>（3）粗大运动训练版块，包含镜像模仿和粗大训练两种训练，加强特需儿童运动能力。</w:t>
            </w:r>
          </w:p>
          <w:p w14:paraId="42FCE596">
            <w:pPr>
              <w:spacing w:after="0" w:line="240" w:lineRule="auto"/>
              <w:jc w:val="left"/>
              <w:rPr>
                <w:rFonts w:hint="eastAsia" w:ascii="仿宋" w:hAnsi="仿宋" w:eastAsia="仿宋" w:cs="Times New Roman"/>
                <w:sz w:val="21"/>
                <w:szCs w:val="21"/>
                <w14:ligatures w14:val="none"/>
              </w:rPr>
            </w:pPr>
            <w:r>
              <w:rPr>
                <w:rFonts w:hint="eastAsia" w:ascii="仿宋" w:hAnsi="仿宋" w:eastAsia="仿宋" w:cs="Times New Roman"/>
                <w:sz w:val="21"/>
                <w:szCs w:val="21"/>
                <w14:ligatures w14:val="none"/>
              </w:rPr>
              <w:t>（4）精细动作训练版块，包含奥尔夫律动和手指协调训练两种训练，加强特需儿童手部精细动作的能力。</w:t>
            </w:r>
          </w:p>
          <w:p w14:paraId="4B190119">
            <w:pPr>
              <w:spacing w:after="0" w:line="240" w:lineRule="auto"/>
              <w:jc w:val="left"/>
              <w:rPr>
                <w:rFonts w:hint="eastAsia" w:ascii="仿宋" w:hAnsi="仿宋" w:eastAsia="仿宋" w:cs="Times New Roman"/>
                <w:sz w:val="21"/>
                <w:szCs w:val="21"/>
                <w14:ligatures w14:val="none"/>
              </w:rPr>
            </w:pPr>
            <w:r>
              <w:rPr>
                <w:rFonts w:hint="eastAsia" w:ascii="仿宋" w:hAnsi="仿宋" w:eastAsia="仿宋" w:cs="Times New Roman"/>
                <w:sz w:val="21"/>
                <w:szCs w:val="21"/>
                <w14:ligatures w14:val="none"/>
              </w:rPr>
              <w:t>（5）认知语言训练版块具有不少于六种类型的训练内容，具体包含认知训练、语音训练、类比训练、推理训练等，课程内容不少于十节。</w:t>
            </w:r>
          </w:p>
          <w:p w14:paraId="78CF3EF6">
            <w:pPr>
              <w:spacing w:after="0" w:line="240" w:lineRule="auto"/>
              <w:jc w:val="left"/>
              <w:rPr>
                <w:rFonts w:hint="eastAsia" w:ascii="仿宋" w:hAnsi="仿宋" w:eastAsia="仿宋" w:cs="Times New Roman"/>
                <w:sz w:val="21"/>
                <w:szCs w:val="21"/>
                <w14:ligatures w14:val="none"/>
              </w:rPr>
            </w:pPr>
            <w:r>
              <w:rPr>
                <w:rFonts w:hint="eastAsia" w:ascii="仿宋" w:hAnsi="仿宋" w:eastAsia="仿宋" w:cs="Times New Roman"/>
                <w:sz w:val="21"/>
                <w:szCs w:val="21"/>
                <w14:ligatures w14:val="none"/>
              </w:rPr>
              <w:t>（6）基础言语训练版块针对特需儿童言语训练呼吸、发声、口部运动等进行训练，训练内容类型不少于四种。</w:t>
            </w:r>
          </w:p>
          <w:p w14:paraId="3393B30A">
            <w:pPr>
              <w:spacing w:after="0" w:line="240" w:lineRule="auto"/>
              <w:jc w:val="left"/>
              <w:rPr>
                <w:rFonts w:hint="eastAsia" w:ascii="仿宋" w:hAnsi="仿宋" w:eastAsia="仿宋" w:cs="Times New Roman"/>
                <w:sz w:val="28"/>
                <w:szCs w:val="28"/>
                <w14:ligatures w14:val="none"/>
              </w:rPr>
            </w:pPr>
            <w:r>
              <w:rPr>
                <w:rFonts w:hint="eastAsia" w:ascii="仿宋" w:hAnsi="仿宋" w:eastAsia="仿宋" w:cs="Times New Roman"/>
                <w:sz w:val="21"/>
                <w:szCs w:val="21"/>
                <w14:ligatures w14:val="none"/>
              </w:rPr>
              <w:t>（7）社会交往训练版块具有不少于六种类型的训练内容，包含团体协作、戏剧治疗、情绪体验、社交互动等，训练课程不少于十节。</w:t>
            </w:r>
          </w:p>
        </w:tc>
        <w:tc>
          <w:tcPr>
            <w:tcW w:w="988" w:type="dxa"/>
            <w:shd w:val="clear" w:color="auto" w:fill="auto"/>
            <w:vAlign w:val="center"/>
          </w:tcPr>
          <w:p w14:paraId="1144F71F">
            <w:pPr>
              <w:spacing w:after="0" w:line="240" w:lineRule="auto"/>
              <w:jc w:val="center"/>
              <w:rPr>
                <w:rFonts w:hint="eastAsia" w:ascii="仿宋" w:hAnsi="仿宋" w:eastAsia="仿宋" w:cs="Times New Roman"/>
                <w:sz w:val="28"/>
                <w:szCs w:val="28"/>
                <w14:ligatures w14:val="none"/>
              </w:rPr>
            </w:pPr>
          </w:p>
        </w:tc>
      </w:tr>
      <w:bookmarkEnd w:id="10"/>
      <w:bookmarkEnd w:id="11"/>
      <w:bookmarkEnd w:id="12"/>
      <w:bookmarkEnd w:id="13"/>
    </w:tbl>
    <w:p w14:paraId="18DEFDC7">
      <w:pPr>
        <w:jc w:val="left"/>
        <w:rPr>
          <w:rFonts w:ascii="黑体" w:hAnsi="黑体" w:eastAsia="黑体"/>
          <w:sz w:val="28"/>
          <w:szCs w:val="28"/>
        </w:rPr>
      </w:pPr>
      <w:bookmarkStart w:id="14" w:name="_Toc28359015"/>
      <w:bookmarkStart w:id="15" w:name="_Toc28359092"/>
      <w:bookmarkStart w:id="16" w:name="_Toc35393801"/>
      <w:bookmarkStart w:id="17" w:name="_Toc35393632"/>
      <w:r>
        <w:rPr>
          <w:rFonts w:hint="eastAsia" w:ascii="黑体" w:hAnsi="黑体" w:eastAsia="黑体"/>
          <w:sz w:val="28"/>
          <w:szCs w:val="28"/>
        </w:rPr>
        <w:t>五、评审方法</w:t>
      </w:r>
    </w:p>
    <w:p w14:paraId="2BF5AE94">
      <w:pPr>
        <w:jc w:val="left"/>
        <w:rPr>
          <w:rFonts w:ascii="仿宋" w:hAnsi="仿宋" w:eastAsia="仿宋"/>
          <w:sz w:val="28"/>
          <w:szCs w:val="28"/>
        </w:rPr>
      </w:pPr>
      <w:r>
        <w:rPr>
          <w:rFonts w:hint="eastAsia" w:ascii="仿宋" w:hAnsi="仿宋" w:eastAsia="仿宋"/>
          <w:sz w:val="28"/>
          <w:szCs w:val="28"/>
        </w:rPr>
        <w:t>1.参加询价（比选）采购活动的供应商，应当按照采购文件的要求一次报出不得更改的价格。</w:t>
      </w:r>
    </w:p>
    <w:p w14:paraId="498AB99A">
      <w:pPr>
        <w:spacing w:line="360" w:lineRule="auto"/>
        <w:rPr>
          <w:rFonts w:ascii="仿宋" w:hAnsi="仿宋" w:eastAsia="仿宋"/>
          <w:i/>
          <w:sz w:val="28"/>
          <w:szCs w:val="28"/>
        </w:rPr>
      </w:pPr>
      <w:r>
        <w:rPr>
          <w:rFonts w:hint="eastAsia" w:ascii="仿宋" w:hAnsi="仿宋" w:eastAsia="仿宋"/>
          <w:sz w:val="28"/>
          <w:szCs w:val="28"/>
        </w:rPr>
        <w:t>2.采购小组从质量和服务均能满足询价文件要求的供应商中，选择最低报价的供应商作为成交人。</w:t>
      </w:r>
    </w:p>
    <w:p w14:paraId="5039B9CB">
      <w:pPr>
        <w:jc w:val="left"/>
        <w:rPr>
          <w:rFonts w:ascii="黑体" w:hAnsi="黑体" w:eastAsia="黑体"/>
          <w:sz w:val="28"/>
          <w:szCs w:val="28"/>
        </w:rPr>
      </w:pPr>
      <w:r>
        <w:rPr>
          <w:rFonts w:hint="eastAsia" w:ascii="黑体" w:hAnsi="黑体" w:eastAsia="黑体"/>
          <w:sz w:val="28"/>
          <w:szCs w:val="28"/>
        </w:rPr>
        <w:t>六、响应文件提交</w:t>
      </w:r>
      <w:bookmarkEnd w:id="14"/>
      <w:bookmarkEnd w:id="15"/>
      <w:bookmarkEnd w:id="16"/>
      <w:bookmarkEnd w:id="17"/>
    </w:p>
    <w:p w14:paraId="783F9E69">
      <w:pPr>
        <w:jc w:val="left"/>
        <w:rPr>
          <w:rFonts w:ascii="仿宋" w:hAnsi="仿宋" w:eastAsia="仿宋"/>
          <w:sz w:val="28"/>
          <w:szCs w:val="28"/>
        </w:rPr>
      </w:pPr>
      <w:r>
        <w:rPr>
          <w:rFonts w:hint="eastAsia" w:ascii="仿宋" w:hAnsi="仿宋" w:eastAsia="仿宋"/>
          <w:sz w:val="28"/>
          <w:szCs w:val="28"/>
        </w:rPr>
        <w:t>1.响应文件的构成</w:t>
      </w:r>
    </w:p>
    <w:p w14:paraId="78EABD6F">
      <w:pPr>
        <w:jc w:val="left"/>
        <w:rPr>
          <w:rFonts w:ascii="仿宋" w:hAnsi="仿宋" w:eastAsia="仿宋"/>
          <w:sz w:val="28"/>
          <w:szCs w:val="28"/>
        </w:rPr>
      </w:pPr>
      <w:r>
        <w:rPr>
          <w:rFonts w:hint="eastAsia" w:ascii="仿宋" w:hAnsi="仿宋" w:eastAsia="仿宋"/>
          <w:sz w:val="28"/>
          <w:szCs w:val="28"/>
        </w:rPr>
        <w:t>供应商资格证明文件</w:t>
      </w:r>
    </w:p>
    <w:p w14:paraId="43AE2A4E">
      <w:pPr>
        <w:jc w:val="left"/>
        <w:rPr>
          <w:rFonts w:ascii="仿宋" w:hAnsi="仿宋" w:eastAsia="仿宋"/>
          <w:sz w:val="28"/>
          <w:szCs w:val="28"/>
        </w:rPr>
      </w:pPr>
      <w:r>
        <w:rPr>
          <w:rFonts w:hint="eastAsia" w:ascii="仿宋" w:hAnsi="仿宋" w:eastAsia="仿宋"/>
          <w:sz w:val="28"/>
          <w:szCs w:val="28"/>
        </w:rPr>
        <w:t>供应商报价表</w:t>
      </w:r>
    </w:p>
    <w:p w14:paraId="725B4FF0">
      <w:pPr>
        <w:jc w:val="left"/>
        <w:rPr>
          <w:rFonts w:ascii="仿宋" w:hAnsi="仿宋" w:eastAsia="仿宋"/>
          <w:sz w:val="28"/>
          <w:szCs w:val="28"/>
        </w:rPr>
      </w:pPr>
      <w:r>
        <w:rPr>
          <w:rFonts w:hint="eastAsia" w:ascii="仿宋" w:hAnsi="仿宋" w:eastAsia="仿宋"/>
          <w:sz w:val="28"/>
          <w:szCs w:val="28"/>
        </w:rPr>
        <w:t>其他材料</w:t>
      </w:r>
    </w:p>
    <w:p w14:paraId="3392226B">
      <w:pPr>
        <w:numPr>
          <w:ilvl w:val="0"/>
          <w:numId w:val="0"/>
        </w:numPr>
        <w:jc w:val="left"/>
        <w:rPr>
          <w:rFonts w:hint="eastAsia" w:ascii="仿宋" w:hAnsi="仿宋" w:eastAsia="仿宋" w:cs="Times New Roman"/>
          <w:sz w:val="28"/>
          <w:szCs w:val="28"/>
          <w14:ligatures w14:val="none"/>
        </w:rPr>
      </w:pPr>
      <w:r>
        <w:rPr>
          <w:rFonts w:hint="eastAsia" w:ascii="仿宋" w:hAnsi="仿宋" w:eastAsia="仿宋"/>
          <w:sz w:val="28"/>
          <w:szCs w:val="28"/>
        </w:rPr>
        <w:t>2.截止时间：</w:t>
      </w:r>
      <w:r>
        <w:rPr>
          <w:rFonts w:hint="eastAsia" w:ascii="仿宋" w:hAnsi="仿宋" w:eastAsia="仿宋" w:cs="Times New Roman"/>
          <w:sz w:val="28"/>
          <w:szCs w:val="28"/>
          <w14:ligatures w14:val="none"/>
        </w:rPr>
        <w:t>202</w:t>
      </w:r>
      <w:r>
        <w:rPr>
          <w:rFonts w:hint="eastAsia" w:ascii="仿宋" w:hAnsi="仿宋" w:eastAsia="仿宋" w:cs="Times New Roman"/>
          <w:sz w:val="28"/>
          <w:szCs w:val="28"/>
          <w:lang w:val="en-US" w:eastAsia="zh-CN"/>
          <w14:ligatures w14:val="none"/>
        </w:rPr>
        <w:t>5</w:t>
      </w:r>
      <w:r>
        <w:rPr>
          <w:rFonts w:hint="eastAsia" w:ascii="仿宋" w:hAnsi="仿宋" w:eastAsia="仿宋" w:cs="Times New Roman"/>
          <w:sz w:val="28"/>
          <w:szCs w:val="28"/>
          <w14:ligatures w14:val="none"/>
        </w:rPr>
        <w:t>年11 月</w:t>
      </w:r>
      <w:r>
        <w:rPr>
          <w:rFonts w:hint="eastAsia" w:ascii="仿宋" w:hAnsi="仿宋" w:eastAsia="仿宋" w:cs="Times New Roman"/>
          <w:sz w:val="28"/>
          <w:szCs w:val="28"/>
          <w:lang w:val="en-US" w:eastAsia="zh-CN"/>
          <w14:ligatures w14:val="none"/>
        </w:rPr>
        <w:t>12</w:t>
      </w:r>
      <w:bookmarkStart w:id="28" w:name="_GoBack"/>
      <w:bookmarkEnd w:id="28"/>
      <w:r>
        <w:rPr>
          <w:rFonts w:hint="eastAsia" w:ascii="仿宋" w:hAnsi="仿宋" w:eastAsia="仿宋" w:cs="Times New Roman"/>
          <w:sz w:val="28"/>
          <w:szCs w:val="28"/>
          <w14:ligatures w14:val="none"/>
        </w:rPr>
        <w:t>日 17 点 00 分（北京时间）</w:t>
      </w:r>
    </w:p>
    <w:p w14:paraId="428C238D">
      <w:pPr>
        <w:spacing w:after="0" w:line="240" w:lineRule="auto"/>
        <w:rPr>
          <w:rFonts w:hint="default" w:ascii="仿宋" w:hAnsi="仿宋" w:eastAsia="仿宋"/>
          <w:sz w:val="28"/>
          <w:szCs w:val="28"/>
          <w:lang w:val="en-US"/>
        </w:rPr>
      </w:pPr>
      <w:r>
        <w:rPr>
          <w:rFonts w:hint="eastAsia" w:ascii="仿宋" w:hAnsi="仿宋" w:eastAsia="仿宋"/>
          <w:sz w:val="28"/>
          <w:szCs w:val="28"/>
        </w:rPr>
        <w:t>3.地点：</w:t>
      </w:r>
      <w:r>
        <w:rPr>
          <w:rFonts w:hint="eastAsia" w:ascii="仿宋" w:hAnsi="仿宋" w:eastAsia="仿宋" w:cs="Times New Roman"/>
          <w:sz w:val="28"/>
          <w:szCs w:val="28"/>
          <w14:ligatures w14:val="none"/>
        </w:rPr>
        <w:t>南京特殊教育师范学院</w:t>
      </w:r>
      <w:r>
        <w:rPr>
          <w:rFonts w:hint="eastAsia" w:ascii="仿宋" w:hAnsi="仿宋" w:eastAsia="仿宋" w:cs="Times New Roman"/>
          <w:sz w:val="28"/>
          <w:szCs w:val="28"/>
          <w:lang w:val="en-US" w:eastAsia="zh-CN"/>
          <w14:ligatures w14:val="none"/>
        </w:rPr>
        <w:t>实训楼704室</w:t>
      </w:r>
    </w:p>
    <w:p w14:paraId="13DB2A33">
      <w:pPr>
        <w:jc w:val="left"/>
        <w:rPr>
          <w:rFonts w:ascii="黑体" w:hAnsi="黑体" w:eastAsia="黑体"/>
          <w:sz w:val="28"/>
          <w:szCs w:val="28"/>
        </w:rPr>
      </w:pPr>
      <w:bookmarkStart w:id="18" w:name="_Toc35393803"/>
      <w:bookmarkStart w:id="19" w:name="_Toc28359017"/>
      <w:bookmarkStart w:id="20" w:name="_Toc28359094"/>
      <w:bookmarkStart w:id="21" w:name="_Toc35393634"/>
      <w:r>
        <w:rPr>
          <w:rFonts w:hint="eastAsia" w:ascii="黑体" w:hAnsi="黑体" w:eastAsia="黑体"/>
          <w:sz w:val="28"/>
          <w:szCs w:val="28"/>
        </w:rPr>
        <w:t>七、公告期限</w:t>
      </w:r>
      <w:bookmarkEnd w:id="18"/>
      <w:bookmarkEnd w:id="19"/>
      <w:bookmarkEnd w:id="20"/>
      <w:bookmarkEnd w:id="21"/>
    </w:p>
    <w:p w14:paraId="11D2D94D">
      <w:pPr>
        <w:jc w:val="left"/>
        <w:rPr>
          <w:rFonts w:ascii="仿宋" w:hAnsi="仿宋" w:eastAsia="仿宋"/>
          <w:sz w:val="28"/>
          <w:szCs w:val="28"/>
        </w:rPr>
      </w:pPr>
      <w:r>
        <w:rPr>
          <w:rFonts w:hint="eastAsia" w:ascii="仿宋" w:hAnsi="仿宋" w:eastAsia="仿宋"/>
          <w:sz w:val="28"/>
          <w:szCs w:val="28"/>
        </w:rPr>
        <w:t>自本公告发布之日起3个工作日。</w:t>
      </w:r>
    </w:p>
    <w:p w14:paraId="009AC91C">
      <w:pPr>
        <w:jc w:val="left"/>
        <w:rPr>
          <w:rFonts w:ascii="黑体" w:hAnsi="黑体" w:eastAsia="黑体"/>
          <w:sz w:val="28"/>
          <w:szCs w:val="28"/>
        </w:rPr>
      </w:pPr>
      <w:bookmarkStart w:id="22" w:name="_Toc35393804"/>
      <w:bookmarkStart w:id="23" w:name="_Toc35393635"/>
      <w:r>
        <w:rPr>
          <w:rFonts w:hint="eastAsia" w:ascii="黑体" w:hAnsi="黑体" w:eastAsia="黑体"/>
          <w:sz w:val="28"/>
          <w:szCs w:val="28"/>
        </w:rPr>
        <w:t>八、其他补充事宜</w:t>
      </w:r>
      <w:bookmarkEnd w:id="22"/>
      <w:bookmarkEnd w:id="23"/>
    </w:p>
    <w:p w14:paraId="1DF3C5DC">
      <w:pPr>
        <w:jc w:val="left"/>
        <w:rPr>
          <w:rFonts w:hint="eastAsia" w:ascii="仿宋" w:hAnsi="仿宋" w:eastAsia="仿宋"/>
          <w:sz w:val="28"/>
          <w:szCs w:val="28"/>
          <w:lang w:val="en-US" w:eastAsia="zh-CN"/>
        </w:rPr>
      </w:pPr>
      <w:r>
        <w:rPr>
          <w:rFonts w:hint="eastAsia" w:ascii="仿宋" w:hAnsi="仿宋" w:eastAsia="仿宋"/>
          <w:sz w:val="28"/>
          <w:szCs w:val="28"/>
          <w:lang w:val="en-US" w:eastAsia="zh-CN"/>
        </w:rPr>
        <w:t>无</w:t>
      </w:r>
    </w:p>
    <w:p w14:paraId="28F4749F">
      <w:pPr>
        <w:jc w:val="left"/>
        <w:rPr>
          <w:rFonts w:ascii="黑体" w:hAnsi="黑体" w:eastAsia="黑体"/>
          <w:sz w:val="28"/>
          <w:szCs w:val="28"/>
        </w:rPr>
      </w:pPr>
      <w:bookmarkStart w:id="24" w:name="_Toc28359095"/>
      <w:bookmarkStart w:id="25" w:name="_Toc35393636"/>
      <w:bookmarkStart w:id="26" w:name="_Toc35393805"/>
      <w:bookmarkStart w:id="27" w:name="_Toc28359018"/>
      <w:r>
        <w:rPr>
          <w:rFonts w:hint="eastAsia" w:ascii="黑体" w:hAnsi="黑体" w:eastAsia="黑体"/>
          <w:sz w:val="28"/>
          <w:szCs w:val="28"/>
        </w:rPr>
        <w:t>九、凡对本次采购提出询问，请按</w:t>
      </w:r>
      <w:r>
        <w:rPr>
          <w:rFonts w:ascii="黑体" w:hAnsi="黑体" w:eastAsia="黑体"/>
          <w:sz w:val="28"/>
          <w:szCs w:val="28"/>
        </w:rPr>
        <w:t>以下方式</w:t>
      </w:r>
      <w:r>
        <w:rPr>
          <w:rFonts w:hint="eastAsia" w:ascii="黑体" w:hAnsi="黑体" w:eastAsia="黑体"/>
          <w:sz w:val="28"/>
          <w:szCs w:val="28"/>
        </w:rPr>
        <w:t>联系</w:t>
      </w:r>
      <w:bookmarkEnd w:id="24"/>
      <w:bookmarkEnd w:id="25"/>
      <w:bookmarkEnd w:id="26"/>
      <w:bookmarkEnd w:id="27"/>
    </w:p>
    <w:p w14:paraId="6EFE53A9">
      <w:pPr>
        <w:jc w:val="left"/>
        <w:rPr>
          <w:rFonts w:hint="eastAsia" w:ascii="仿宋" w:hAnsi="仿宋" w:eastAsia="仿宋"/>
          <w:sz w:val="28"/>
          <w:szCs w:val="28"/>
          <w:lang w:eastAsia="zh-CN"/>
        </w:rPr>
      </w:pPr>
      <w:r>
        <w:rPr>
          <w:rFonts w:hint="eastAsia" w:ascii="仿宋" w:hAnsi="仿宋" w:eastAsia="仿宋"/>
          <w:sz w:val="28"/>
          <w:szCs w:val="28"/>
        </w:rPr>
        <w:t>联系人：</w:t>
      </w:r>
      <w:r>
        <w:rPr>
          <w:rFonts w:hint="eastAsia" w:ascii="仿宋" w:hAnsi="仿宋" w:eastAsia="仿宋"/>
          <w:sz w:val="28"/>
          <w:szCs w:val="28"/>
          <w:lang w:val="en-US" w:eastAsia="zh-CN"/>
        </w:rPr>
        <w:t>段冀州</w:t>
      </w:r>
    </w:p>
    <w:p w14:paraId="1BA6B186">
      <w:pPr>
        <w:jc w:val="left"/>
        <w:rPr>
          <w:rFonts w:hint="default" w:ascii="仿宋" w:hAnsi="仿宋" w:eastAsia="仿宋"/>
          <w:sz w:val="28"/>
          <w:szCs w:val="28"/>
          <w:lang w:val="en-US" w:eastAsia="zh-CN"/>
        </w:rPr>
      </w:pPr>
      <w:r>
        <w:rPr>
          <w:rFonts w:hint="eastAsia" w:ascii="仿宋" w:hAnsi="仿宋" w:eastAsia="仿宋"/>
          <w:sz w:val="28"/>
          <w:szCs w:val="28"/>
        </w:rPr>
        <w:t>电  话：</w:t>
      </w:r>
      <w:r>
        <w:rPr>
          <w:rFonts w:hint="eastAsia" w:ascii="仿宋" w:hAnsi="仿宋" w:eastAsia="仿宋"/>
          <w:sz w:val="28"/>
          <w:szCs w:val="28"/>
          <w:lang w:val="en-US" w:eastAsia="zh-CN"/>
        </w:rPr>
        <w:t>17751039513</w:t>
      </w:r>
    </w:p>
    <w:p w14:paraId="6264DFFB">
      <w:pPr>
        <w:jc w:val="left"/>
        <w:rPr>
          <w:rFonts w:hint="eastAsia" w:ascii="仿宋" w:hAnsi="仿宋" w:eastAsia="仿宋"/>
          <w:sz w:val="28"/>
          <w:szCs w:val="28"/>
          <w:lang w:val="en-US" w:eastAsia="zh-CN"/>
        </w:rPr>
      </w:pPr>
      <w:r>
        <w:rPr>
          <w:rFonts w:hint="eastAsia" w:ascii="仿宋" w:hAnsi="仿宋" w:eastAsia="仿宋"/>
          <w:sz w:val="28"/>
          <w:szCs w:val="28"/>
        </w:rPr>
        <w:t>地  址：</w:t>
      </w:r>
      <w:r>
        <w:rPr>
          <w:rFonts w:hint="eastAsia" w:ascii="仿宋" w:hAnsi="仿宋" w:eastAsia="仿宋"/>
          <w:sz w:val="28"/>
          <w:szCs w:val="28"/>
          <w:lang w:val="en-US" w:eastAsia="zh-CN"/>
        </w:rPr>
        <w:t>南京特殊教育师范学院</w:t>
      </w:r>
    </w:p>
    <w:p w14:paraId="69B0A3D2">
      <w:pPr>
        <w:jc w:val="left"/>
        <w:rPr>
          <w:rFonts w:hint="eastAsia" w:ascii="仿宋" w:hAnsi="仿宋" w:eastAsia="仿宋"/>
          <w:sz w:val="28"/>
          <w:szCs w:val="28"/>
          <w:lang w:val="en-US" w:eastAsia="zh-CN"/>
        </w:rPr>
      </w:pPr>
    </w:p>
    <w:p w14:paraId="21AA2ACF">
      <w:pPr>
        <w:jc w:val="left"/>
        <w:rPr>
          <w:rFonts w:hint="eastAsia" w:ascii="仿宋" w:hAnsi="仿宋" w:eastAsia="仿宋"/>
          <w:sz w:val="28"/>
          <w:szCs w:val="28"/>
          <w:lang w:val="en-US" w:eastAsia="zh-CN"/>
        </w:rPr>
      </w:pPr>
    </w:p>
    <w:p w14:paraId="0B7E1754">
      <w:pPr>
        <w:jc w:val="left"/>
        <w:rPr>
          <w:rFonts w:hint="eastAsia" w:ascii="仿宋" w:hAnsi="仿宋" w:eastAsia="仿宋"/>
          <w:sz w:val="28"/>
          <w:szCs w:val="28"/>
          <w:lang w:val="en-US" w:eastAsia="zh-CN"/>
        </w:rPr>
      </w:pPr>
    </w:p>
    <w:p w14:paraId="2AA0CA59">
      <w:pPr>
        <w:jc w:val="left"/>
        <w:rPr>
          <w:rFonts w:hint="eastAsia" w:ascii="仿宋" w:hAnsi="仿宋" w:eastAsia="仿宋"/>
          <w:sz w:val="28"/>
          <w:szCs w:val="28"/>
          <w:lang w:val="en-US" w:eastAsia="zh-CN"/>
        </w:rPr>
      </w:pPr>
    </w:p>
    <w:p w14:paraId="7247C898">
      <w:pPr>
        <w:rPr>
          <w:rFonts w:hint="eastAsia" w:ascii="仿宋" w:hAnsi="仿宋" w:eastAsia="仿宋"/>
          <w:sz w:val="28"/>
          <w:szCs w:val="28"/>
          <w:lang w:val="en-US" w:eastAsia="zh-CN"/>
        </w:rPr>
      </w:pPr>
      <w:r>
        <w:rPr>
          <w:rFonts w:hint="eastAsia" w:ascii="仿宋" w:hAnsi="仿宋" w:eastAsia="仿宋"/>
          <w:sz w:val="28"/>
          <w:szCs w:val="28"/>
          <w:lang w:val="en-US" w:eastAsia="zh-CN"/>
        </w:rPr>
        <w:br w:type="page"/>
      </w:r>
    </w:p>
    <w:p w14:paraId="2845219F">
      <w:pPr>
        <w:jc w:val="center"/>
        <w:rPr>
          <w:rStyle w:val="5"/>
          <w:rFonts w:hint="eastAsia" w:ascii="宋体" w:hAnsi="宋体"/>
          <w:kern w:val="0"/>
          <w:sz w:val="36"/>
          <w:szCs w:val="36"/>
        </w:rPr>
      </w:pPr>
      <w:r>
        <w:rPr>
          <w:rStyle w:val="5"/>
          <w:rFonts w:hint="eastAsia" w:ascii="宋体" w:hAnsi="宋体" w:cs="宋体"/>
          <w:b/>
          <w:bCs/>
          <w:kern w:val="0"/>
          <w:sz w:val="36"/>
          <w:szCs w:val="36"/>
          <w:lang w:val="en-US" w:eastAsia="zh-CN"/>
        </w:rPr>
        <w:t>采购</w:t>
      </w:r>
      <w:r>
        <w:rPr>
          <w:rStyle w:val="5"/>
          <w:rFonts w:ascii="宋体" w:hAnsi="宋体" w:cs="宋体"/>
          <w:b/>
          <w:bCs/>
          <w:kern w:val="0"/>
          <w:sz w:val="36"/>
          <w:szCs w:val="36"/>
        </w:rPr>
        <w:t>合同</w:t>
      </w:r>
    </w:p>
    <w:p w14:paraId="482A20E8">
      <w:pPr>
        <w:snapToGrid w:val="0"/>
        <w:spacing w:line="360" w:lineRule="auto"/>
        <w:jc w:val="left"/>
        <w:rPr>
          <w:rStyle w:val="5"/>
          <w:rFonts w:hint="eastAsia" w:ascii="宋体" w:hAnsi="宋体" w:eastAsia="宋体" w:cs="宋体"/>
          <w:kern w:val="0"/>
          <w:sz w:val="28"/>
          <w:szCs w:val="28"/>
        </w:rPr>
      </w:pPr>
      <w:r>
        <w:rPr>
          <w:rStyle w:val="5"/>
          <w:rFonts w:hint="eastAsia" w:ascii="宋体" w:hAnsi="宋体" w:eastAsia="宋体" w:cs="宋体"/>
          <w:kern w:val="0"/>
          <w:sz w:val="28"/>
          <w:szCs w:val="28"/>
        </w:rPr>
        <w:t>甲方(需方)：</w:t>
      </w:r>
      <w:r>
        <w:rPr>
          <w:rFonts w:hint="eastAsia" w:ascii="宋体" w:hAnsi="宋体" w:eastAsia="宋体" w:cs="宋体"/>
          <w:kern w:val="0"/>
          <w:sz w:val="28"/>
          <w:szCs w:val="28"/>
        </w:rPr>
        <w:t>南京特殊教育师范学院</w:t>
      </w:r>
      <w:r>
        <w:rPr>
          <w:rStyle w:val="5"/>
          <w:rFonts w:hint="eastAsia" w:ascii="宋体" w:hAnsi="宋体" w:eastAsia="宋体" w:cs="宋体"/>
          <w:kern w:val="0"/>
          <w:sz w:val="28"/>
          <w:szCs w:val="28"/>
        </w:rPr>
        <w:t xml:space="preserve">            </w:t>
      </w:r>
    </w:p>
    <w:p w14:paraId="51D32AA1">
      <w:pPr>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Style w:val="5"/>
          <w:rFonts w:hint="eastAsia" w:ascii="宋体" w:hAnsi="宋体" w:eastAsia="宋体" w:cs="宋体"/>
          <w:kern w:val="0"/>
          <w:sz w:val="28"/>
          <w:szCs w:val="28"/>
        </w:rPr>
      </w:pPr>
      <w:r>
        <w:rPr>
          <w:rStyle w:val="5"/>
          <w:rFonts w:hint="eastAsia" w:ascii="宋体" w:hAnsi="宋体" w:eastAsia="宋体" w:cs="宋体"/>
          <w:kern w:val="0"/>
          <w:sz w:val="28"/>
          <w:szCs w:val="28"/>
        </w:rPr>
        <w:t>乙方(供方)：</w:t>
      </w:r>
    </w:p>
    <w:p w14:paraId="1217FF55">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Style w:val="5"/>
          <w:rFonts w:hint="eastAsia" w:ascii="宋体" w:hAnsi="宋体" w:eastAsia="宋体" w:cs="宋体"/>
          <w:sz w:val="28"/>
          <w:szCs w:val="28"/>
        </w:rPr>
      </w:pPr>
      <w:r>
        <w:rPr>
          <w:rStyle w:val="5"/>
          <w:rFonts w:hint="eastAsia" w:ascii="宋体" w:hAnsi="宋体" w:eastAsia="宋体" w:cs="宋体"/>
          <w:sz w:val="28"/>
          <w:szCs w:val="28"/>
        </w:rPr>
        <w:t>根据《中华人民共和国民法典》等相关法律法规的规定，甲乙双方本着互惠互利的原则，经友好协商，就此次产品购销事宜，签订本合同。</w:t>
      </w:r>
    </w:p>
    <w:p w14:paraId="128C4D9A">
      <w:pPr>
        <w:keepNext w:val="0"/>
        <w:keepLines w:val="0"/>
        <w:pageBreakBefore w:val="0"/>
        <w:widowControl w:val="0"/>
        <w:kinsoku/>
        <w:wordWrap/>
        <w:overflowPunct/>
        <w:topLinePunct w:val="0"/>
        <w:autoSpaceDE/>
        <w:autoSpaceDN/>
        <w:bidi w:val="0"/>
        <w:adjustRightInd/>
        <w:snapToGrid w:val="0"/>
        <w:spacing w:line="500" w:lineRule="exact"/>
        <w:ind w:firstLine="551" w:firstLineChars="196"/>
        <w:jc w:val="left"/>
        <w:textAlignment w:val="auto"/>
        <w:rPr>
          <w:rStyle w:val="5"/>
          <w:rFonts w:hint="eastAsia" w:ascii="宋体" w:hAnsi="宋体" w:eastAsia="宋体" w:cs="宋体"/>
          <w:b/>
          <w:kern w:val="0"/>
          <w:sz w:val="28"/>
          <w:szCs w:val="28"/>
        </w:rPr>
      </w:pPr>
      <w:r>
        <w:rPr>
          <w:rStyle w:val="5"/>
          <w:rFonts w:hint="eastAsia" w:ascii="宋体" w:hAnsi="宋体" w:eastAsia="宋体" w:cs="宋体"/>
          <w:b/>
          <w:kern w:val="0"/>
          <w:sz w:val="28"/>
          <w:szCs w:val="28"/>
        </w:rPr>
        <w:t>一 、产品名称、数量、单价及总货款：</w:t>
      </w:r>
    </w:p>
    <w:p w14:paraId="1F2CFA4F">
      <w:pPr>
        <w:keepNext w:val="0"/>
        <w:keepLines w:val="0"/>
        <w:pageBreakBefore w:val="0"/>
        <w:widowControl w:val="0"/>
        <w:kinsoku/>
        <w:wordWrap/>
        <w:overflowPunct/>
        <w:topLinePunct w:val="0"/>
        <w:autoSpaceDE/>
        <w:autoSpaceDN/>
        <w:bidi w:val="0"/>
        <w:adjustRightInd/>
        <w:snapToGrid w:val="0"/>
        <w:spacing w:line="500" w:lineRule="exact"/>
        <w:ind w:firstLine="570"/>
        <w:jc w:val="left"/>
        <w:textAlignment w:val="auto"/>
        <w:rPr>
          <w:rStyle w:val="5"/>
          <w:rFonts w:hint="eastAsia" w:ascii="宋体" w:hAnsi="宋体" w:eastAsia="宋体" w:cs="宋体"/>
          <w:kern w:val="0"/>
          <w:sz w:val="28"/>
          <w:szCs w:val="28"/>
        </w:rPr>
      </w:pPr>
      <w:r>
        <w:rPr>
          <w:rStyle w:val="5"/>
          <w:rFonts w:hint="eastAsia" w:ascii="宋体" w:hAnsi="宋体" w:eastAsia="宋体" w:cs="宋体"/>
          <w:kern w:val="0"/>
          <w:sz w:val="28"/>
          <w:szCs w:val="28"/>
        </w:rPr>
        <w:t>产品名称、数量、单价及总货款以双方实际约定为主</w:t>
      </w:r>
    </w:p>
    <w:p w14:paraId="36044A37">
      <w:pPr>
        <w:keepNext w:val="0"/>
        <w:keepLines w:val="0"/>
        <w:pageBreakBefore w:val="0"/>
        <w:widowControl w:val="0"/>
        <w:kinsoku/>
        <w:wordWrap/>
        <w:overflowPunct/>
        <w:topLinePunct w:val="0"/>
        <w:autoSpaceDE/>
        <w:autoSpaceDN/>
        <w:bidi w:val="0"/>
        <w:adjustRightInd/>
        <w:snapToGrid w:val="0"/>
        <w:spacing w:line="200" w:lineRule="exact"/>
        <w:ind w:firstLine="573"/>
        <w:jc w:val="left"/>
        <w:textAlignment w:val="auto"/>
        <w:rPr>
          <w:rStyle w:val="5"/>
          <w:rFonts w:hint="eastAsia" w:ascii="宋体" w:hAnsi="宋体" w:eastAsia="宋体" w:cs="宋体"/>
          <w:kern w:val="0"/>
          <w:sz w:val="28"/>
          <w:szCs w:val="28"/>
        </w:rPr>
      </w:pP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6"/>
        <w:gridCol w:w="2399"/>
        <w:gridCol w:w="2117"/>
        <w:gridCol w:w="1614"/>
        <w:gridCol w:w="1496"/>
      </w:tblGrid>
      <w:tr w14:paraId="44A04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896" w:type="dxa"/>
            <w:vAlign w:val="center"/>
          </w:tcPr>
          <w:p w14:paraId="0EC5B77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Style w:val="5"/>
                <w:rFonts w:hint="eastAsia" w:ascii="宋体" w:hAnsi="宋体" w:eastAsia="宋体" w:cs="宋体"/>
                <w:b/>
                <w:kern w:val="0"/>
                <w:sz w:val="28"/>
                <w:szCs w:val="28"/>
              </w:rPr>
            </w:pPr>
            <w:r>
              <w:rPr>
                <w:rStyle w:val="5"/>
                <w:rFonts w:hint="eastAsia" w:ascii="宋体" w:hAnsi="宋体" w:eastAsia="宋体" w:cs="宋体"/>
                <w:b/>
                <w:kern w:val="0"/>
                <w:sz w:val="28"/>
                <w:szCs w:val="28"/>
              </w:rPr>
              <w:t>序号</w:t>
            </w:r>
          </w:p>
        </w:tc>
        <w:tc>
          <w:tcPr>
            <w:tcW w:w="2399" w:type="dxa"/>
            <w:vAlign w:val="center"/>
          </w:tcPr>
          <w:p w14:paraId="2C63853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Style w:val="5"/>
                <w:rFonts w:hint="eastAsia" w:ascii="宋体" w:hAnsi="宋体" w:eastAsia="宋体" w:cs="宋体"/>
                <w:b/>
                <w:kern w:val="0"/>
                <w:sz w:val="28"/>
                <w:szCs w:val="28"/>
              </w:rPr>
            </w:pPr>
            <w:r>
              <w:rPr>
                <w:rStyle w:val="5"/>
                <w:rFonts w:hint="eastAsia" w:ascii="宋体" w:hAnsi="宋体" w:eastAsia="宋体" w:cs="宋体"/>
                <w:b/>
                <w:kern w:val="0"/>
                <w:sz w:val="28"/>
                <w:szCs w:val="28"/>
              </w:rPr>
              <w:t>产品名称</w:t>
            </w:r>
          </w:p>
        </w:tc>
        <w:tc>
          <w:tcPr>
            <w:tcW w:w="2117" w:type="dxa"/>
            <w:vAlign w:val="center"/>
          </w:tcPr>
          <w:p w14:paraId="4B26B66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Style w:val="5"/>
                <w:rFonts w:hint="eastAsia" w:ascii="宋体" w:hAnsi="宋体" w:eastAsia="宋体" w:cs="宋体"/>
                <w:b/>
                <w:kern w:val="0"/>
                <w:sz w:val="28"/>
                <w:szCs w:val="28"/>
              </w:rPr>
            </w:pPr>
            <w:r>
              <w:rPr>
                <w:rStyle w:val="5"/>
                <w:rFonts w:hint="eastAsia" w:ascii="宋体" w:hAnsi="宋体" w:eastAsia="宋体" w:cs="宋体"/>
                <w:b/>
                <w:kern w:val="0"/>
                <w:sz w:val="28"/>
                <w:szCs w:val="28"/>
              </w:rPr>
              <w:t>数量（套）</w:t>
            </w:r>
          </w:p>
        </w:tc>
        <w:tc>
          <w:tcPr>
            <w:tcW w:w="1614" w:type="dxa"/>
            <w:vAlign w:val="center"/>
          </w:tcPr>
          <w:p w14:paraId="4EAAA83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Style w:val="5"/>
                <w:rFonts w:hint="eastAsia" w:ascii="宋体" w:hAnsi="宋体" w:eastAsia="宋体" w:cs="宋体"/>
                <w:b/>
                <w:kern w:val="0"/>
                <w:sz w:val="28"/>
                <w:szCs w:val="28"/>
              </w:rPr>
            </w:pPr>
            <w:r>
              <w:rPr>
                <w:rStyle w:val="5"/>
                <w:rFonts w:hint="eastAsia" w:ascii="宋体" w:hAnsi="宋体" w:eastAsia="宋体" w:cs="宋体"/>
                <w:b/>
                <w:kern w:val="0"/>
                <w:sz w:val="28"/>
                <w:szCs w:val="28"/>
              </w:rPr>
              <w:t>单价(元)</w:t>
            </w:r>
          </w:p>
        </w:tc>
        <w:tc>
          <w:tcPr>
            <w:tcW w:w="1496" w:type="dxa"/>
            <w:vAlign w:val="center"/>
          </w:tcPr>
          <w:p w14:paraId="51E8F43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Style w:val="5"/>
                <w:rFonts w:hint="eastAsia" w:ascii="宋体" w:hAnsi="宋体" w:eastAsia="宋体" w:cs="宋体"/>
                <w:b/>
                <w:kern w:val="0"/>
                <w:sz w:val="28"/>
                <w:szCs w:val="28"/>
              </w:rPr>
            </w:pPr>
            <w:r>
              <w:rPr>
                <w:rStyle w:val="5"/>
                <w:rFonts w:hint="eastAsia" w:ascii="宋体" w:hAnsi="宋体" w:eastAsia="宋体" w:cs="宋体"/>
                <w:b/>
                <w:kern w:val="0"/>
                <w:sz w:val="28"/>
                <w:szCs w:val="28"/>
              </w:rPr>
              <w:t>合计(元)</w:t>
            </w:r>
          </w:p>
        </w:tc>
      </w:tr>
      <w:tr w14:paraId="15EE1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896" w:type="dxa"/>
            <w:vAlign w:val="center"/>
          </w:tcPr>
          <w:p w14:paraId="20E11E7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Style w:val="5"/>
                <w:rFonts w:hint="eastAsia" w:ascii="宋体" w:hAnsi="宋体" w:eastAsia="宋体" w:cs="宋体"/>
                <w:bCs/>
                <w:kern w:val="0"/>
                <w:sz w:val="28"/>
                <w:szCs w:val="28"/>
              </w:rPr>
            </w:pPr>
          </w:p>
        </w:tc>
        <w:tc>
          <w:tcPr>
            <w:tcW w:w="2399" w:type="dxa"/>
            <w:vAlign w:val="center"/>
          </w:tcPr>
          <w:p w14:paraId="7FB4C45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Style w:val="5"/>
                <w:rFonts w:hint="eastAsia" w:ascii="宋体" w:hAnsi="宋体" w:eastAsia="宋体" w:cs="宋体"/>
                <w:bCs/>
                <w:kern w:val="0"/>
                <w:sz w:val="28"/>
                <w:szCs w:val="28"/>
              </w:rPr>
            </w:pPr>
          </w:p>
        </w:tc>
        <w:tc>
          <w:tcPr>
            <w:tcW w:w="2117" w:type="dxa"/>
            <w:vAlign w:val="center"/>
          </w:tcPr>
          <w:p w14:paraId="3F64178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Style w:val="5"/>
                <w:rFonts w:hint="eastAsia" w:ascii="宋体" w:hAnsi="宋体" w:eastAsia="宋体" w:cs="宋体"/>
                <w:bCs/>
                <w:kern w:val="0"/>
                <w:sz w:val="28"/>
                <w:szCs w:val="28"/>
              </w:rPr>
            </w:pPr>
          </w:p>
        </w:tc>
        <w:tc>
          <w:tcPr>
            <w:tcW w:w="1614" w:type="dxa"/>
            <w:vAlign w:val="center"/>
          </w:tcPr>
          <w:p w14:paraId="42B21C4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Style w:val="5"/>
                <w:rFonts w:hint="eastAsia" w:ascii="宋体" w:hAnsi="宋体" w:eastAsia="宋体" w:cs="宋体"/>
                <w:bCs/>
                <w:kern w:val="0"/>
                <w:sz w:val="28"/>
                <w:szCs w:val="28"/>
              </w:rPr>
            </w:pPr>
          </w:p>
        </w:tc>
        <w:tc>
          <w:tcPr>
            <w:tcW w:w="1496" w:type="dxa"/>
            <w:vAlign w:val="center"/>
          </w:tcPr>
          <w:p w14:paraId="5EF98EA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Style w:val="5"/>
                <w:rFonts w:hint="eastAsia" w:ascii="宋体" w:hAnsi="宋体" w:eastAsia="宋体" w:cs="宋体"/>
                <w:bCs/>
                <w:kern w:val="0"/>
                <w:sz w:val="28"/>
                <w:szCs w:val="28"/>
              </w:rPr>
            </w:pPr>
          </w:p>
        </w:tc>
      </w:tr>
      <w:tr w14:paraId="61530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896" w:type="dxa"/>
            <w:vAlign w:val="center"/>
          </w:tcPr>
          <w:p w14:paraId="110344A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Style w:val="5"/>
                <w:rFonts w:hint="eastAsia" w:ascii="宋体" w:hAnsi="宋体" w:eastAsia="宋体" w:cs="宋体"/>
                <w:bCs/>
                <w:kern w:val="0"/>
                <w:sz w:val="28"/>
                <w:szCs w:val="28"/>
              </w:rPr>
            </w:pPr>
          </w:p>
        </w:tc>
        <w:tc>
          <w:tcPr>
            <w:tcW w:w="2399" w:type="dxa"/>
            <w:vAlign w:val="center"/>
          </w:tcPr>
          <w:p w14:paraId="665FBDA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Style w:val="5"/>
                <w:rFonts w:hint="eastAsia" w:ascii="宋体" w:hAnsi="宋体" w:eastAsia="宋体" w:cs="宋体"/>
                <w:bCs/>
                <w:kern w:val="0"/>
                <w:sz w:val="28"/>
                <w:szCs w:val="28"/>
              </w:rPr>
            </w:pPr>
          </w:p>
        </w:tc>
        <w:tc>
          <w:tcPr>
            <w:tcW w:w="2117" w:type="dxa"/>
            <w:vAlign w:val="center"/>
          </w:tcPr>
          <w:p w14:paraId="2F11111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Style w:val="5"/>
                <w:rFonts w:hint="eastAsia" w:ascii="宋体" w:hAnsi="宋体" w:eastAsia="宋体" w:cs="宋体"/>
                <w:bCs/>
                <w:kern w:val="0"/>
                <w:sz w:val="28"/>
                <w:szCs w:val="28"/>
              </w:rPr>
            </w:pPr>
          </w:p>
        </w:tc>
        <w:tc>
          <w:tcPr>
            <w:tcW w:w="1614" w:type="dxa"/>
            <w:vAlign w:val="center"/>
          </w:tcPr>
          <w:p w14:paraId="163B377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Style w:val="5"/>
                <w:rFonts w:hint="eastAsia" w:ascii="宋体" w:hAnsi="宋体" w:eastAsia="宋体" w:cs="宋体"/>
                <w:bCs/>
                <w:kern w:val="0"/>
                <w:sz w:val="28"/>
                <w:szCs w:val="28"/>
              </w:rPr>
            </w:pPr>
          </w:p>
        </w:tc>
        <w:tc>
          <w:tcPr>
            <w:tcW w:w="1496" w:type="dxa"/>
            <w:vAlign w:val="center"/>
          </w:tcPr>
          <w:p w14:paraId="774ACDB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Style w:val="5"/>
                <w:rFonts w:hint="eastAsia" w:ascii="宋体" w:hAnsi="宋体" w:eastAsia="宋体" w:cs="宋体"/>
                <w:bCs/>
                <w:kern w:val="0"/>
                <w:sz w:val="28"/>
                <w:szCs w:val="28"/>
              </w:rPr>
            </w:pPr>
          </w:p>
        </w:tc>
      </w:tr>
      <w:tr w14:paraId="2436B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896" w:type="dxa"/>
            <w:vAlign w:val="center"/>
          </w:tcPr>
          <w:p w14:paraId="6D61020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Style w:val="5"/>
                <w:rFonts w:hint="eastAsia" w:ascii="宋体" w:hAnsi="宋体" w:eastAsia="宋体" w:cs="宋体"/>
                <w:bCs/>
                <w:kern w:val="0"/>
                <w:sz w:val="28"/>
                <w:szCs w:val="28"/>
              </w:rPr>
            </w:pPr>
          </w:p>
        </w:tc>
        <w:tc>
          <w:tcPr>
            <w:tcW w:w="2399" w:type="dxa"/>
            <w:vAlign w:val="center"/>
          </w:tcPr>
          <w:p w14:paraId="2905B57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Style w:val="5"/>
                <w:rFonts w:hint="eastAsia" w:ascii="宋体" w:hAnsi="宋体" w:eastAsia="宋体" w:cs="宋体"/>
                <w:bCs/>
                <w:kern w:val="0"/>
                <w:sz w:val="28"/>
                <w:szCs w:val="28"/>
              </w:rPr>
            </w:pPr>
          </w:p>
        </w:tc>
        <w:tc>
          <w:tcPr>
            <w:tcW w:w="2117" w:type="dxa"/>
            <w:vAlign w:val="center"/>
          </w:tcPr>
          <w:p w14:paraId="6ED693D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Style w:val="5"/>
                <w:rFonts w:hint="eastAsia" w:ascii="宋体" w:hAnsi="宋体" w:eastAsia="宋体" w:cs="宋体"/>
                <w:bCs/>
                <w:kern w:val="0"/>
                <w:sz w:val="28"/>
                <w:szCs w:val="28"/>
              </w:rPr>
            </w:pPr>
          </w:p>
        </w:tc>
        <w:tc>
          <w:tcPr>
            <w:tcW w:w="1614" w:type="dxa"/>
            <w:vAlign w:val="center"/>
          </w:tcPr>
          <w:p w14:paraId="291C94A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Style w:val="5"/>
                <w:rFonts w:hint="eastAsia" w:ascii="宋体" w:hAnsi="宋体" w:eastAsia="宋体" w:cs="宋体"/>
                <w:bCs/>
                <w:kern w:val="0"/>
                <w:sz w:val="28"/>
                <w:szCs w:val="28"/>
              </w:rPr>
            </w:pPr>
          </w:p>
        </w:tc>
        <w:tc>
          <w:tcPr>
            <w:tcW w:w="1496" w:type="dxa"/>
            <w:vAlign w:val="center"/>
          </w:tcPr>
          <w:p w14:paraId="39D32FD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Style w:val="5"/>
                <w:rFonts w:hint="eastAsia" w:ascii="宋体" w:hAnsi="宋体" w:eastAsia="宋体" w:cs="宋体"/>
                <w:bCs/>
                <w:kern w:val="0"/>
                <w:sz w:val="28"/>
                <w:szCs w:val="28"/>
              </w:rPr>
            </w:pPr>
          </w:p>
        </w:tc>
      </w:tr>
      <w:tr w14:paraId="13704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896" w:type="dxa"/>
            <w:vAlign w:val="center"/>
          </w:tcPr>
          <w:p w14:paraId="6130CC0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Style w:val="5"/>
                <w:rFonts w:hint="eastAsia" w:ascii="宋体" w:hAnsi="宋体" w:eastAsia="宋体" w:cs="宋体"/>
                <w:bCs/>
                <w:kern w:val="0"/>
                <w:sz w:val="28"/>
                <w:szCs w:val="28"/>
              </w:rPr>
            </w:pPr>
          </w:p>
        </w:tc>
        <w:tc>
          <w:tcPr>
            <w:tcW w:w="2399" w:type="dxa"/>
            <w:vAlign w:val="center"/>
          </w:tcPr>
          <w:p w14:paraId="7D559D9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Style w:val="5"/>
                <w:rFonts w:hint="eastAsia" w:ascii="宋体" w:hAnsi="宋体" w:eastAsia="宋体" w:cs="宋体"/>
                <w:bCs/>
                <w:kern w:val="0"/>
                <w:sz w:val="28"/>
                <w:szCs w:val="28"/>
              </w:rPr>
            </w:pPr>
          </w:p>
        </w:tc>
        <w:tc>
          <w:tcPr>
            <w:tcW w:w="2117" w:type="dxa"/>
            <w:vAlign w:val="center"/>
          </w:tcPr>
          <w:p w14:paraId="495807A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Style w:val="5"/>
                <w:rFonts w:hint="eastAsia" w:ascii="宋体" w:hAnsi="宋体" w:eastAsia="宋体" w:cs="宋体"/>
                <w:bCs/>
                <w:kern w:val="0"/>
                <w:sz w:val="28"/>
                <w:szCs w:val="28"/>
              </w:rPr>
            </w:pPr>
          </w:p>
        </w:tc>
        <w:tc>
          <w:tcPr>
            <w:tcW w:w="1614" w:type="dxa"/>
            <w:vAlign w:val="center"/>
          </w:tcPr>
          <w:p w14:paraId="2EA581E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Style w:val="5"/>
                <w:rFonts w:hint="eastAsia" w:ascii="宋体" w:hAnsi="宋体" w:eastAsia="宋体" w:cs="宋体"/>
                <w:bCs/>
                <w:kern w:val="0"/>
                <w:sz w:val="28"/>
                <w:szCs w:val="28"/>
              </w:rPr>
            </w:pPr>
          </w:p>
        </w:tc>
        <w:tc>
          <w:tcPr>
            <w:tcW w:w="1496" w:type="dxa"/>
            <w:vAlign w:val="center"/>
          </w:tcPr>
          <w:p w14:paraId="50099A6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Style w:val="5"/>
                <w:rFonts w:hint="eastAsia" w:ascii="宋体" w:hAnsi="宋体" w:eastAsia="宋体" w:cs="宋体"/>
                <w:bCs/>
                <w:kern w:val="0"/>
                <w:sz w:val="28"/>
                <w:szCs w:val="28"/>
              </w:rPr>
            </w:pPr>
          </w:p>
        </w:tc>
      </w:tr>
      <w:tr w14:paraId="2CCA1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896" w:type="dxa"/>
            <w:vAlign w:val="center"/>
          </w:tcPr>
          <w:p w14:paraId="278CBA6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Style w:val="5"/>
                <w:rFonts w:hint="eastAsia" w:ascii="宋体" w:hAnsi="宋体" w:eastAsia="宋体" w:cs="宋体"/>
                <w:bCs/>
                <w:kern w:val="0"/>
                <w:sz w:val="28"/>
                <w:szCs w:val="28"/>
              </w:rPr>
            </w:pPr>
          </w:p>
        </w:tc>
        <w:tc>
          <w:tcPr>
            <w:tcW w:w="2399" w:type="dxa"/>
            <w:vAlign w:val="center"/>
          </w:tcPr>
          <w:p w14:paraId="710CA32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Style w:val="5"/>
                <w:rFonts w:hint="eastAsia" w:ascii="宋体" w:hAnsi="宋体" w:eastAsia="宋体" w:cs="宋体"/>
                <w:bCs/>
                <w:kern w:val="0"/>
                <w:sz w:val="28"/>
                <w:szCs w:val="28"/>
              </w:rPr>
            </w:pPr>
          </w:p>
        </w:tc>
        <w:tc>
          <w:tcPr>
            <w:tcW w:w="2117" w:type="dxa"/>
            <w:vAlign w:val="center"/>
          </w:tcPr>
          <w:p w14:paraId="08073A7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Style w:val="5"/>
                <w:rFonts w:hint="eastAsia" w:ascii="宋体" w:hAnsi="宋体" w:eastAsia="宋体" w:cs="宋体"/>
                <w:bCs/>
                <w:kern w:val="0"/>
                <w:sz w:val="28"/>
                <w:szCs w:val="28"/>
              </w:rPr>
            </w:pPr>
          </w:p>
        </w:tc>
        <w:tc>
          <w:tcPr>
            <w:tcW w:w="1614" w:type="dxa"/>
            <w:vAlign w:val="center"/>
          </w:tcPr>
          <w:p w14:paraId="6999F28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Style w:val="5"/>
                <w:rFonts w:hint="eastAsia" w:ascii="宋体" w:hAnsi="宋体" w:eastAsia="宋体" w:cs="宋体"/>
                <w:bCs/>
                <w:kern w:val="0"/>
                <w:sz w:val="28"/>
                <w:szCs w:val="28"/>
              </w:rPr>
            </w:pPr>
          </w:p>
        </w:tc>
        <w:tc>
          <w:tcPr>
            <w:tcW w:w="1496" w:type="dxa"/>
            <w:vAlign w:val="center"/>
          </w:tcPr>
          <w:p w14:paraId="1769332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Style w:val="5"/>
                <w:rFonts w:hint="eastAsia" w:ascii="宋体" w:hAnsi="宋体" w:eastAsia="宋体" w:cs="宋体"/>
                <w:bCs/>
                <w:kern w:val="0"/>
                <w:sz w:val="28"/>
                <w:szCs w:val="28"/>
              </w:rPr>
            </w:pPr>
          </w:p>
        </w:tc>
      </w:tr>
      <w:tr w14:paraId="26007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896" w:type="dxa"/>
            <w:vAlign w:val="center"/>
          </w:tcPr>
          <w:p w14:paraId="5F1B928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Style w:val="5"/>
                <w:rFonts w:hint="eastAsia" w:ascii="宋体" w:hAnsi="宋体" w:eastAsia="宋体" w:cs="宋体"/>
                <w:bCs/>
                <w:kern w:val="0"/>
                <w:sz w:val="28"/>
                <w:szCs w:val="28"/>
              </w:rPr>
            </w:pPr>
            <w:r>
              <w:rPr>
                <w:rStyle w:val="5"/>
                <w:rFonts w:hint="eastAsia" w:ascii="宋体" w:hAnsi="宋体" w:eastAsia="宋体" w:cs="宋体"/>
                <w:bCs/>
                <w:kern w:val="0"/>
                <w:sz w:val="28"/>
                <w:szCs w:val="28"/>
              </w:rPr>
              <w:t>总计</w:t>
            </w:r>
          </w:p>
        </w:tc>
        <w:tc>
          <w:tcPr>
            <w:tcW w:w="7626" w:type="dxa"/>
            <w:gridSpan w:val="4"/>
            <w:vAlign w:val="center"/>
          </w:tcPr>
          <w:p w14:paraId="61493F00">
            <w:pPr>
              <w:keepNext w:val="0"/>
              <w:keepLines w:val="0"/>
              <w:pageBreakBefore w:val="0"/>
              <w:widowControl w:val="0"/>
              <w:kinsoku/>
              <w:wordWrap/>
              <w:overflowPunct/>
              <w:topLinePunct w:val="0"/>
              <w:autoSpaceDE/>
              <w:autoSpaceDN/>
              <w:bidi w:val="0"/>
              <w:adjustRightInd/>
              <w:snapToGrid w:val="0"/>
              <w:spacing w:line="240" w:lineRule="auto"/>
              <w:jc w:val="right"/>
              <w:textAlignment w:val="auto"/>
              <w:rPr>
                <w:rStyle w:val="5"/>
                <w:rFonts w:hint="eastAsia" w:ascii="宋体" w:hAnsi="宋体" w:eastAsia="宋体" w:cs="宋体"/>
                <w:bCs/>
                <w:kern w:val="0"/>
                <w:sz w:val="28"/>
                <w:szCs w:val="28"/>
              </w:rPr>
            </w:pPr>
            <w:r>
              <w:rPr>
                <w:rFonts w:hint="eastAsia" w:ascii="宋体" w:hAnsi="宋体" w:eastAsia="宋体" w:cs="宋体"/>
                <w:bCs/>
                <w:color w:val="000000"/>
                <w:kern w:val="0"/>
                <w:sz w:val="28"/>
                <w:szCs w:val="28"/>
              </w:rPr>
              <w:t>（大写：</w:t>
            </w:r>
            <w:r>
              <w:rPr>
                <w:rFonts w:hint="eastAsia" w:ascii="宋体" w:hAnsi="宋体" w:eastAsia="宋体" w:cs="宋体"/>
                <w:bCs/>
                <w:color w:val="000000"/>
                <w:kern w:val="0"/>
                <w:sz w:val="28"/>
                <w:szCs w:val="28"/>
                <w:lang w:val="en-US" w:eastAsia="zh-CN"/>
              </w:rPr>
              <w:t xml:space="preserve">   </w:t>
            </w:r>
            <w:r>
              <w:rPr>
                <w:rFonts w:hint="eastAsia" w:ascii="宋体" w:hAnsi="宋体" w:eastAsia="宋体" w:cs="宋体"/>
                <w:bCs/>
                <w:color w:val="000000"/>
                <w:kern w:val="0"/>
                <w:sz w:val="28"/>
                <w:szCs w:val="28"/>
              </w:rPr>
              <w:t xml:space="preserve">      ）</w:t>
            </w:r>
          </w:p>
        </w:tc>
      </w:tr>
    </w:tbl>
    <w:p w14:paraId="77B995F8">
      <w:pPr>
        <w:keepNext w:val="0"/>
        <w:keepLines w:val="0"/>
        <w:pageBreakBefore w:val="0"/>
        <w:widowControl w:val="0"/>
        <w:kinsoku/>
        <w:wordWrap/>
        <w:overflowPunct/>
        <w:topLinePunct w:val="0"/>
        <w:autoSpaceDE/>
        <w:autoSpaceDN/>
        <w:bidi w:val="0"/>
        <w:adjustRightInd/>
        <w:snapToGrid w:val="0"/>
        <w:spacing w:line="200" w:lineRule="exact"/>
        <w:jc w:val="left"/>
        <w:textAlignment w:val="auto"/>
        <w:rPr>
          <w:rStyle w:val="5"/>
          <w:rFonts w:hint="eastAsia" w:ascii="宋体" w:hAnsi="宋体" w:eastAsia="宋体" w:cs="宋体"/>
          <w:b/>
          <w:kern w:val="0"/>
          <w:sz w:val="28"/>
          <w:szCs w:val="28"/>
        </w:rPr>
      </w:pPr>
    </w:p>
    <w:p w14:paraId="02729D7F">
      <w:pPr>
        <w:keepNext w:val="0"/>
        <w:keepLines w:val="0"/>
        <w:pageBreakBefore w:val="0"/>
        <w:widowControl w:val="0"/>
        <w:kinsoku/>
        <w:wordWrap/>
        <w:overflowPunct/>
        <w:topLinePunct w:val="0"/>
        <w:autoSpaceDE/>
        <w:autoSpaceDN/>
        <w:bidi w:val="0"/>
        <w:adjustRightInd/>
        <w:snapToGrid w:val="0"/>
        <w:spacing w:line="500" w:lineRule="exact"/>
        <w:ind w:firstLine="413" w:firstLineChars="147"/>
        <w:jc w:val="left"/>
        <w:textAlignment w:val="auto"/>
        <w:rPr>
          <w:rStyle w:val="5"/>
          <w:rFonts w:hint="eastAsia" w:ascii="宋体" w:hAnsi="宋体" w:eastAsia="宋体" w:cs="宋体"/>
          <w:b/>
          <w:kern w:val="0"/>
          <w:sz w:val="28"/>
          <w:szCs w:val="28"/>
        </w:rPr>
      </w:pPr>
      <w:r>
        <w:rPr>
          <w:rStyle w:val="5"/>
          <w:rFonts w:hint="eastAsia" w:ascii="宋体" w:hAnsi="宋体" w:eastAsia="宋体" w:cs="宋体"/>
          <w:b/>
          <w:kern w:val="0"/>
          <w:sz w:val="28"/>
          <w:szCs w:val="28"/>
        </w:rPr>
        <w:t>二、货款结算方式</w:t>
      </w:r>
    </w:p>
    <w:p w14:paraId="7CD06306">
      <w:pPr>
        <w:keepNext w:val="0"/>
        <w:keepLines w:val="0"/>
        <w:pageBreakBefore w:val="0"/>
        <w:widowControl w:val="0"/>
        <w:kinsoku/>
        <w:wordWrap/>
        <w:overflowPunct/>
        <w:topLinePunct w:val="0"/>
        <w:autoSpaceDE/>
        <w:autoSpaceDN/>
        <w:bidi w:val="0"/>
        <w:adjustRightInd/>
        <w:snapToGrid w:val="0"/>
        <w:spacing w:line="500" w:lineRule="exact"/>
        <w:ind w:firstLine="480"/>
        <w:textAlignment w:val="auto"/>
        <w:rPr>
          <w:rFonts w:hint="eastAsia" w:ascii="宋体" w:hAnsi="宋体" w:eastAsia="宋体" w:cs="宋体"/>
          <w:color w:val="000000"/>
          <w:kern w:val="0"/>
          <w:sz w:val="28"/>
          <w:szCs w:val="28"/>
        </w:rPr>
      </w:pPr>
      <w:r>
        <w:rPr>
          <w:rStyle w:val="5"/>
          <w:rFonts w:hint="eastAsia" w:ascii="宋体" w:hAnsi="宋体" w:eastAsia="宋体" w:cs="宋体"/>
          <w:kern w:val="0"/>
          <w:sz w:val="28"/>
          <w:szCs w:val="28"/>
        </w:rPr>
        <w:t>1.合同签订后，甲方支付乙方合同价的100%，即（大写）</w:t>
      </w:r>
      <w:r>
        <w:rPr>
          <w:rStyle w:val="5"/>
          <w:rFonts w:hint="eastAsia" w:ascii="宋体" w:hAnsi="宋体" w:eastAsia="宋体" w:cs="宋体"/>
          <w:kern w:val="0"/>
          <w:sz w:val="28"/>
          <w:szCs w:val="28"/>
          <w:u w:val="single"/>
          <w:lang w:val="en-US" w:eastAsia="zh-CN"/>
        </w:rPr>
        <w:t xml:space="preserve">       </w:t>
      </w:r>
      <w:r>
        <w:rPr>
          <w:rStyle w:val="5"/>
          <w:rFonts w:hint="eastAsia" w:ascii="宋体" w:hAnsi="宋体" w:eastAsia="宋体" w:cs="宋体"/>
          <w:kern w:val="0"/>
          <w:sz w:val="28"/>
          <w:szCs w:val="28"/>
          <w:lang w:val="en-US" w:eastAsia="zh-CN"/>
        </w:rPr>
        <w:t>元整</w:t>
      </w:r>
      <w:r>
        <w:rPr>
          <w:rStyle w:val="5"/>
          <w:rFonts w:hint="eastAsia" w:ascii="宋体" w:hAnsi="宋体" w:eastAsia="宋体" w:cs="宋体"/>
          <w:kern w:val="0"/>
          <w:sz w:val="28"/>
          <w:szCs w:val="28"/>
        </w:rPr>
        <w:t>（小写￥</w:t>
      </w:r>
      <w:r>
        <w:rPr>
          <w:rStyle w:val="5"/>
          <w:rFonts w:hint="eastAsia" w:ascii="宋体" w:hAnsi="宋体" w:eastAsia="宋体" w:cs="宋体"/>
          <w:kern w:val="0"/>
          <w:sz w:val="28"/>
          <w:szCs w:val="28"/>
          <w:u w:val="single"/>
          <w:lang w:val="en-US" w:eastAsia="zh-CN"/>
        </w:rPr>
        <w:t xml:space="preserve">        </w:t>
      </w:r>
      <w:r>
        <w:rPr>
          <w:rStyle w:val="5"/>
          <w:rFonts w:hint="eastAsia" w:ascii="宋体" w:hAnsi="宋体" w:eastAsia="宋体" w:cs="宋体"/>
          <w:kern w:val="0"/>
          <w:sz w:val="28"/>
          <w:szCs w:val="28"/>
          <w:lang w:val="en-US" w:eastAsia="zh-CN"/>
        </w:rPr>
        <w:t>元）；</w:t>
      </w:r>
    </w:p>
    <w:p w14:paraId="7859E3F1">
      <w:pPr>
        <w:keepNext w:val="0"/>
        <w:keepLines w:val="0"/>
        <w:pageBreakBefore w:val="0"/>
        <w:widowControl w:val="0"/>
        <w:kinsoku/>
        <w:wordWrap/>
        <w:overflowPunct/>
        <w:topLinePunct w:val="0"/>
        <w:autoSpaceDE/>
        <w:autoSpaceDN/>
        <w:bidi w:val="0"/>
        <w:adjustRightInd/>
        <w:snapToGrid w:val="0"/>
        <w:spacing w:line="500" w:lineRule="exact"/>
        <w:ind w:firstLine="480"/>
        <w:jc w:val="left"/>
        <w:textAlignment w:val="auto"/>
        <w:rPr>
          <w:rStyle w:val="5"/>
          <w:rFonts w:hint="eastAsia" w:ascii="宋体" w:hAnsi="宋体" w:eastAsia="宋体" w:cs="宋体"/>
          <w:kern w:val="0"/>
          <w:sz w:val="28"/>
          <w:szCs w:val="28"/>
        </w:rPr>
      </w:pPr>
      <w:r>
        <w:rPr>
          <w:rStyle w:val="5"/>
          <w:rFonts w:hint="eastAsia" w:ascii="宋体" w:hAnsi="宋体" w:eastAsia="宋体" w:cs="宋体"/>
          <w:kern w:val="0"/>
          <w:sz w:val="28"/>
          <w:szCs w:val="28"/>
        </w:rPr>
        <w:t>2.乙方开具增值税普通发票。</w:t>
      </w:r>
    </w:p>
    <w:p w14:paraId="1B099AE2">
      <w:pPr>
        <w:keepNext w:val="0"/>
        <w:keepLines w:val="0"/>
        <w:pageBreakBefore w:val="0"/>
        <w:widowControl w:val="0"/>
        <w:kinsoku/>
        <w:wordWrap/>
        <w:overflowPunct/>
        <w:topLinePunct w:val="0"/>
        <w:autoSpaceDE/>
        <w:autoSpaceDN/>
        <w:bidi w:val="0"/>
        <w:adjustRightInd/>
        <w:snapToGrid w:val="0"/>
        <w:spacing w:line="200" w:lineRule="exact"/>
        <w:ind w:firstLine="482"/>
        <w:jc w:val="left"/>
        <w:textAlignment w:val="auto"/>
        <w:rPr>
          <w:rStyle w:val="5"/>
          <w:rFonts w:hint="eastAsia" w:ascii="宋体" w:hAnsi="宋体" w:eastAsia="宋体" w:cs="宋体"/>
          <w:kern w:val="0"/>
          <w:sz w:val="28"/>
          <w:szCs w:val="28"/>
        </w:rPr>
      </w:pPr>
    </w:p>
    <w:p w14:paraId="702F4852">
      <w:pPr>
        <w:keepNext w:val="0"/>
        <w:keepLines w:val="0"/>
        <w:pageBreakBefore w:val="0"/>
        <w:widowControl w:val="0"/>
        <w:kinsoku/>
        <w:wordWrap/>
        <w:overflowPunct/>
        <w:topLinePunct w:val="0"/>
        <w:autoSpaceDE/>
        <w:autoSpaceDN/>
        <w:bidi w:val="0"/>
        <w:adjustRightInd/>
        <w:snapToGrid w:val="0"/>
        <w:spacing w:line="500" w:lineRule="exact"/>
        <w:ind w:firstLine="480"/>
        <w:jc w:val="left"/>
        <w:textAlignment w:val="auto"/>
        <w:rPr>
          <w:rStyle w:val="5"/>
          <w:rFonts w:hint="eastAsia" w:ascii="宋体" w:hAnsi="宋体" w:eastAsia="宋体" w:cs="宋体"/>
          <w:b/>
          <w:kern w:val="0"/>
          <w:sz w:val="28"/>
          <w:szCs w:val="28"/>
        </w:rPr>
      </w:pPr>
      <w:r>
        <w:rPr>
          <w:rStyle w:val="5"/>
          <w:rFonts w:hint="eastAsia" w:ascii="宋体" w:hAnsi="宋体" w:eastAsia="宋体" w:cs="宋体"/>
          <w:b/>
          <w:kern w:val="0"/>
          <w:sz w:val="28"/>
          <w:szCs w:val="28"/>
        </w:rPr>
        <w:t>三、货物运输及费用</w:t>
      </w:r>
    </w:p>
    <w:p w14:paraId="23DDD8EA">
      <w:pPr>
        <w:keepNext w:val="0"/>
        <w:keepLines w:val="0"/>
        <w:pageBreakBefore w:val="0"/>
        <w:widowControl w:val="0"/>
        <w:kinsoku/>
        <w:wordWrap/>
        <w:overflowPunct/>
        <w:topLinePunct w:val="0"/>
        <w:autoSpaceDE/>
        <w:autoSpaceDN/>
        <w:bidi w:val="0"/>
        <w:adjustRightInd/>
        <w:snapToGrid w:val="0"/>
        <w:spacing w:line="500" w:lineRule="exact"/>
        <w:ind w:firstLine="465"/>
        <w:jc w:val="left"/>
        <w:textAlignment w:val="auto"/>
        <w:rPr>
          <w:rStyle w:val="5"/>
          <w:rFonts w:hint="eastAsia" w:ascii="宋体" w:hAnsi="宋体" w:eastAsia="宋体" w:cs="宋体"/>
          <w:kern w:val="0"/>
          <w:sz w:val="28"/>
          <w:szCs w:val="28"/>
        </w:rPr>
      </w:pPr>
      <w:r>
        <w:rPr>
          <w:rStyle w:val="5"/>
          <w:rFonts w:hint="eastAsia" w:ascii="宋体" w:hAnsi="宋体" w:eastAsia="宋体" w:cs="宋体"/>
          <w:kern w:val="0"/>
          <w:sz w:val="28"/>
          <w:szCs w:val="28"/>
        </w:rPr>
        <w:t>货物由乙方负责运输，运输费用由乙方承担。</w:t>
      </w:r>
    </w:p>
    <w:p w14:paraId="73EE1923">
      <w:pPr>
        <w:keepNext w:val="0"/>
        <w:keepLines w:val="0"/>
        <w:pageBreakBefore w:val="0"/>
        <w:widowControl w:val="0"/>
        <w:kinsoku/>
        <w:wordWrap/>
        <w:overflowPunct/>
        <w:topLinePunct w:val="0"/>
        <w:autoSpaceDE/>
        <w:autoSpaceDN/>
        <w:bidi w:val="0"/>
        <w:adjustRightInd/>
        <w:snapToGrid w:val="0"/>
        <w:spacing w:line="200" w:lineRule="exact"/>
        <w:ind w:firstLine="465"/>
        <w:jc w:val="left"/>
        <w:textAlignment w:val="auto"/>
        <w:rPr>
          <w:rStyle w:val="5"/>
          <w:rFonts w:hint="eastAsia" w:ascii="宋体" w:hAnsi="宋体" w:eastAsia="宋体" w:cs="宋体"/>
          <w:kern w:val="0"/>
          <w:sz w:val="28"/>
          <w:szCs w:val="28"/>
        </w:rPr>
      </w:pPr>
    </w:p>
    <w:p w14:paraId="6EA540C3">
      <w:pPr>
        <w:keepNext w:val="0"/>
        <w:keepLines w:val="0"/>
        <w:pageBreakBefore w:val="0"/>
        <w:widowControl w:val="0"/>
        <w:kinsoku/>
        <w:wordWrap/>
        <w:overflowPunct/>
        <w:topLinePunct w:val="0"/>
        <w:autoSpaceDE/>
        <w:autoSpaceDN/>
        <w:bidi w:val="0"/>
        <w:adjustRightInd/>
        <w:snapToGrid w:val="0"/>
        <w:spacing w:line="500" w:lineRule="exact"/>
        <w:ind w:firstLine="465"/>
        <w:jc w:val="left"/>
        <w:textAlignment w:val="auto"/>
        <w:rPr>
          <w:rStyle w:val="5"/>
          <w:rFonts w:hint="eastAsia" w:ascii="宋体" w:hAnsi="宋体" w:eastAsia="宋体" w:cs="宋体"/>
          <w:b/>
          <w:kern w:val="0"/>
          <w:sz w:val="28"/>
          <w:szCs w:val="28"/>
        </w:rPr>
      </w:pPr>
      <w:r>
        <w:rPr>
          <w:rStyle w:val="5"/>
          <w:rFonts w:hint="eastAsia" w:ascii="宋体" w:hAnsi="宋体" w:eastAsia="宋体" w:cs="宋体"/>
          <w:b/>
          <w:kern w:val="0"/>
          <w:sz w:val="28"/>
          <w:szCs w:val="28"/>
        </w:rPr>
        <w:t>四、产品包装</w:t>
      </w:r>
    </w:p>
    <w:p w14:paraId="209AA096">
      <w:pPr>
        <w:keepNext w:val="0"/>
        <w:keepLines w:val="0"/>
        <w:pageBreakBefore w:val="0"/>
        <w:widowControl w:val="0"/>
        <w:kinsoku/>
        <w:wordWrap/>
        <w:overflowPunct/>
        <w:topLinePunct w:val="0"/>
        <w:autoSpaceDE/>
        <w:autoSpaceDN/>
        <w:bidi w:val="0"/>
        <w:adjustRightInd/>
        <w:snapToGrid w:val="0"/>
        <w:spacing w:line="500" w:lineRule="exact"/>
        <w:textAlignment w:val="auto"/>
        <w:rPr>
          <w:rStyle w:val="5"/>
          <w:rFonts w:hint="eastAsia" w:ascii="宋体" w:hAnsi="宋体" w:eastAsia="宋体" w:cs="宋体"/>
          <w:kern w:val="0"/>
          <w:sz w:val="28"/>
          <w:szCs w:val="28"/>
        </w:rPr>
      </w:pPr>
      <w:r>
        <w:rPr>
          <w:rStyle w:val="5"/>
          <w:rFonts w:hint="eastAsia" w:ascii="宋体" w:hAnsi="宋体" w:eastAsia="宋体" w:cs="宋体"/>
          <w:kern w:val="0"/>
          <w:sz w:val="28"/>
          <w:szCs w:val="28"/>
        </w:rPr>
        <w:t xml:space="preserve">    产品包装应符合通常包装，若在运输过程中发生毁损或因包装不适导致产品损坏，由乙方负责。</w:t>
      </w:r>
    </w:p>
    <w:p w14:paraId="0EF783C2">
      <w:pPr>
        <w:keepNext w:val="0"/>
        <w:keepLines w:val="0"/>
        <w:pageBreakBefore w:val="0"/>
        <w:widowControl w:val="0"/>
        <w:kinsoku/>
        <w:wordWrap/>
        <w:overflowPunct/>
        <w:topLinePunct w:val="0"/>
        <w:autoSpaceDE/>
        <w:autoSpaceDN/>
        <w:bidi w:val="0"/>
        <w:adjustRightInd/>
        <w:snapToGrid w:val="0"/>
        <w:spacing w:line="500" w:lineRule="exact"/>
        <w:ind w:firstLine="413" w:firstLineChars="147"/>
        <w:textAlignment w:val="auto"/>
        <w:rPr>
          <w:rStyle w:val="5"/>
          <w:rFonts w:hint="eastAsia" w:ascii="宋体" w:hAnsi="宋体" w:eastAsia="宋体" w:cs="宋体"/>
          <w:b/>
          <w:kern w:val="0"/>
          <w:sz w:val="28"/>
          <w:szCs w:val="28"/>
        </w:rPr>
      </w:pPr>
      <w:r>
        <w:rPr>
          <w:rStyle w:val="5"/>
          <w:rFonts w:hint="eastAsia" w:ascii="宋体" w:hAnsi="宋体" w:eastAsia="宋体" w:cs="宋体"/>
          <w:b/>
          <w:kern w:val="0"/>
          <w:sz w:val="28"/>
          <w:szCs w:val="28"/>
        </w:rPr>
        <w:t>五、产品质量及验收</w:t>
      </w:r>
    </w:p>
    <w:p w14:paraId="17039EFE">
      <w:pPr>
        <w:keepNext w:val="0"/>
        <w:keepLines w:val="0"/>
        <w:pageBreakBefore w:val="0"/>
        <w:widowControl w:val="0"/>
        <w:kinsoku/>
        <w:wordWrap/>
        <w:overflowPunct/>
        <w:topLinePunct w:val="0"/>
        <w:autoSpaceDE/>
        <w:autoSpaceDN/>
        <w:bidi w:val="0"/>
        <w:adjustRightInd/>
        <w:snapToGrid w:val="0"/>
        <w:spacing w:line="500" w:lineRule="exact"/>
        <w:ind w:firstLine="480"/>
        <w:textAlignment w:val="auto"/>
        <w:rPr>
          <w:rStyle w:val="5"/>
          <w:rFonts w:hint="eastAsia" w:ascii="宋体" w:hAnsi="宋体" w:eastAsia="宋体" w:cs="宋体"/>
          <w:kern w:val="0"/>
          <w:sz w:val="28"/>
          <w:szCs w:val="28"/>
        </w:rPr>
      </w:pPr>
      <w:r>
        <w:rPr>
          <w:rStyle w:val="5"/>
          <w:rFonts w:hint="eastAsia" w:ascii="宋体" w:hAnsi="宋体" w:eastAsia="宋体" w:cs="宋体"/>
          <w:kern w:val="0"/>
          <w:sz w:val="28"/>
          <w:szCs w:val="28"/>
        </w:rPr>
        <w:t>1．验收标准及验收方法。乙方提供产品合格证书，甲方根据相关法律规定的产品质量标准进行验收。甲方在产品的使用过程中，如果发现产品质量问题，应与乙方取得联系，给甲方造成的损失，乙方应当承担赔偿责任。</w:t>
      </w:r>
    </w:p>
    <w:p w14:paraId="4B12AB14">
      <w:pPr>
        <w:keepNext w:val="0"/>
        <w:keepLines w:val="0"/>
        <w:pageBreakBefore w:val="0"/>
        <w:widowControl w:val="0"/>
        <w:kinsoku/>
        <w:wordWrap/>
        <w:overflowPunct/>
        <w:topLinePunct w:val="0"/>
        <w:autoSpaceDE/>
        <w:autoSpaceDN/>
        <w:bidi w:val="0"/>
        <w:adjustRightInd/>
        <w:snapToGrid w:val="0"/>
        <w:spacing w:line="200" w:lineRule="exact"/>
        <w:ind w:firstLine="482"/>
        <w:textAlignment w:val="auto"/>
        <w:rPr>
          <w:rStyle w:val="5"/>
          <w:rFonts w:hint="eastAsia" w:ascii="宋体" w:hAnsi="宋体" w:eastAsia="宋体" w:cs="宋体"/>
          <w:kern w:val="0"/>
          <w:sz w:val="28"/>
          <w:szCs w:val="28"/>
        </w:rPr>
      </w:pPr>
    </w:p>
    <w:p w14:paraId="45C52AE8">
      <w:pPr>
        <w:keepNext w:val="0"/>
        <w:keepLines w:val="0"/>
        <w:pageBreakBefore w:val="0"/>
        <w:widowControl w:val="0"/>
        <w:kinsoku/>
        <w:wordWrap/>
        <w:overflowPunct/>
        <w:topLinePunct w:val="0"/>
        <w:autoSpaceDE/>
        <w:autoSpaceDN/>
        <w:bidi w:val="0"/>
        <w:adjustRightInd/>
        <w:snapToGrid w:val="0"/>
        <w:spacing w:line="500" w:lineRule="exact"/>
        <w:ind w:firstLine="562" w:firstLineChars="200"/>
        <w:textAlignment w:val="auto"/>
        <w:rPr>
          <w:rStyle w:val="5"/>
          <w:rFonts w:hint="eastAsia" w:ascii="宋体" w:hAnsi="宋体" w:eastAsia="宋体" w:cs="宋体"/>
          <w:b/>
          <w:kern w:val="0"/>
          <w:sz w:val="28"/>
          <w:szCs w:val="28"/>
        </w:rPr>
      </w:pPr>
      <w:r>
        <w:rPr>
          <w:rStyle w:val="5"/>
          <w:rFonts w:hint="eastAsia" w:ascii="宋体" w:hAnsi="宋体" w:eastAsia="宋体" w:cs="宋体"/>
          <w:b/>
          <w:bCs/>
          <w:kern w:val="0"/>
          <w:sz w:val="28"/>
          <w:szCs w:val="28"/>
        </w:rPr>
        <w:t>六、</w:t>
      </w:r>
      <w:r>
        <w:rPr>
          <w:rStyle w:val="5"/>
          <w:rFonts w:hint="eastAsia" w:ascii="宋体" w:hAnsi="宋体" w:eastAsia="宋体" w:cs="宋体"/>
          <w:b/>
          <w:kern w:val="0"/>
          <w:sz w:val="28"/>
          <w:szCs w:val="28"/>
        </w:rPr>
        <w:t>双方责任</w:t>
      </w:r>
    </w:p>
    <w:p w14:paraId="56BDF9D7">
      <w:pPr>
        <w:keepNext w:val="0"/>
        <w:keepLines w:val="0"/>
        <w:pageBreakBefore w:val="0"/>
        <w:widowControl w:val="0"/>
        <w:kinsoku/>
        <w:wordWrap/>
        <w:overflowPunct/>
        <w:topLinePunct w:val="0"/>
        <w:autoSpaceDE/>
        <w:autoSpaceDN/>
        <w:bidi w:val="0"/>
        <w:adjustRightInd/>
        <w:snapToGrid w:val="0"/>
        <w:spacing w:line="500" w:lineRule="exact"/>
        <w:ind w:firstLine="560" w:firstLineChars="200"/>
        <w:textAlignment w:val="auto"/>
        <w:rPr>
          <w:rStyle w:val="5"/>
          <w:rFonts w:hint="eastAsia" w:ascii="宋体" w:hAnsi="宋体" w:eastAsia="宋体" w:cs="宋体"/>
          <w:kern w:val="0"/>
          <w:sz w:val="28"/>
          <w:szCs w:val="28"/>
        </w:rPr>
      </w:pPr>
      <w:r>
        <w:rPr>
          <w:rStyle w:val="5"/>
          <w:rFonts w:hint="eastAsia" w:ascii="宋体" w:hAnsi="宋体" w:eastAsia="宋体" w:cs="宋体"/>
          <w:kern w:val="0"/>
          <w:sz w:val="28"/>
          <w:szCs w:val="28"/>
        </w:rPr>
        <w:t>1.甲方按约定时间及方式向乙方付款，甲方做好相关准备接受材料，组织卸货。</w:t>
      </w:r>
    </w:p>
    <w:p w14:paraId="09C7AD63">
      <w:pPr>
        <w:keepNext w:val="0"/>
        <w:keepLines w:val="0"/>
        <w:pageBreakBefore w:val="0"/>
        <w:widowControl w:val="0"/>
        <w:kinsoku/>
        <w:wordWrap/>
        <w:overflowPunct/>
        <w:topLinePunct w:val="0"/>
        <w:autoSpaceDE/>
        <w:autoSpaceDN/>
        <w:bidi w:val="0"/>
        <w:adjustRightInd/>
        <w:snapToGrid w:val="0"/>
        <w:spacing w:line="500" w:lineRule="exact"/>
        <w:ind w:firstLine="560" w:firstLineChars="200"/>
        <w:textAlignment w:val="auto"/>
        <w:rPr>
          <w:rStyle w:val="5"/>
          <w:rFonts w:hint="eastAsia" w:ascii="宋体" w:hAnsi="宋体" w:eastAsia="宋体" w:cs="宋体"/>
          <w:kern w:val="0"/>
          <w:sz w:val="28"/>
          <w:szCs w:val="28"/>
        </w:rPr>
      </w:pPr>
      <w:r>
        <w:rPr>
          <w:rStyle w:val="5"/>
          <w:rFonts w:hint="eastAsia" w:ascii="宋体" w:hAnsi="宋体" w:eastAsia="宋体" w:cs="宋体"/>
          <w:kern w:val="0"/>
          <w:sz w:val="28"/>
          <w:szCs w:val="28"/>
        </w:rPr>
        <w:t>2．乙方提供的产品数量及质量应当符合合同约定。如果乙方提供的产品数量不足，甲方可以在货款中扣除相应的数额，由于乙方提供的产品质量出现问题，给甲方造成损失的，还应当承担相应的赔偿责任。</w:t>
      </w:r>
    </w:p>
    <w:p w14:paraId="4EC46554">
      <w:pPr>
        <w:keepNext w:val="0"/>
        <w:keepLines w:val="0"/>
        <w:pageBreakBefore w:val="0"/>
        <w:widowControl w:val="0"/>
        <w:kinsoku/>
        <w:wordWrap/>
        <w:overflowPunct/>
        <w:topLinePunct w:val="0"/>
        <w:autoSpaceDE/>
        <w:autoSpaceDN/>
        <w:bidi w:val="0"/>
        <w:adjustRightInd/>
        <w:snapToGrid w:val="0"/>
        <w:spacing w:line="500" w:lineRule="exact"/>
        <w:ind w:firstLine="560" w:firstLineChars="200"/>
        <w:textAlignment w:val="auto"/>
        <w:rPr>
          <w:rStyle w:val="5"/>
          <w:rFonts w:hint="eastAsia" w:ascii="宋体" w:hAnsi="宋体" w:eastAsia="宋体" w:cs="宋体"/>
          <w:kern w:val="0"/>
          <w:sz w:val="28"/>
          <w:szCs w:val="28"/>
        </w:rPr>
      </w:pPr>
      <w:r>
        <w:rPr>
          <w:rStyle w:val="5"/>
          <w:rFonts w:hint="eastAsia" w:ascii="宋体" w:hAnsi="宋体" w:eastAsia="宋体" w:cs="宋体"/>
          <w:kern w:val="0"/>
          <w:sz w:val="28"/>
          <w:szCs w:val="28"/>
        </w:rPr>
        <w:t>本合同自双方签字盖章后生效，合同一式两份，双方各执一份。</w:t>
      </w:r>
    </w:p>
    <w:p w14:paraId="563B2D3F">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宋体" w:hAnsi="宋体" w:eastAsia="宋体" w:cs="宋体"/>
          <w:kern w:val="0"/>
          <w:sz w:val="28"/>
          <w:szCs w:val="28"/>
          <w:lang w:bidi="ar"/>
        </w:rPr>
      </w:pPr>
    </w:p>
    <w:p w14:paraId="1FE43D77">
      <w:pPr>
        <w:keepNext w:val="0"/>
        <w:keepLines w:val="0"/>
        <w:pageBreakBefore w:val="0"/>
        <w:widowControl w:val="0"/>
        <w:kinsoku/>
        <w:wordWrap/>
        <w:overflowPunct/>
        <w:topLinePunct w:val="0"/>
        <w:autoSpaceDE/>
        <w:autoSpaceDN/>
        <w:bidi w:val="0"/>
        <w:adjustRightInd/>
        <w:spacing w:line="240" w:lineRule="auto"/>
        <w:textAlignment w:val="auto"/>
        <w:rPr>
          <w:rFonts w:hint="eastAsia" w:ascii="宋体" w:hAnsi="宋体" w:eastAsia="宋体" w:cs="宋体"/>
          <w:sz w:val="28"/>
          <w:szCs w:val="28"/>
        </w:rPr>
      </w:pPr>
      <w:r>
        <w:rPr>
          <w:rFonts w:hint="eastAsia" w:ascii="宋体" w:hAnsi="宋体" w:eastAsia="宋体" w:cs="宋体"/>
          <w:sz w:val="28"/>
          <w:szCs w:val="28"/>
        </w:rPr>
        <w:t>甲方（盖章）：南京特殊教育师范学院</w:t>
      </w:r>
    </w:p>
    <w:p w14:paraId="6898CA84">
      <w:pPr>
        <w:keepNext w:val="0"/>
        <w:keepLines w:val="0"/>
        <w:pageBreakBefore w:val="0"/>
        <w:widowControl w:val="0"/>
        <w:kinsoku/>
        <w:wordWrap/>
        <w:overflowPunct/>
        <w:topLinePunct w:val="0"/>
        <w:autoSpaceDE/>
        <w:autoSpaceDN/>
        <w:bidi w:val="0"/>
        <w:adjustRightInd/>
        <w:spacing w:line="240" w:lineRule="auto"/>
        <w:textAlignment w:val="auto"/>
        <w:rPr>
          <w:rFonts w:hint="eastAsia" w:ascii="宋体" w:hAnsi="宋体" w:eastAsia="宋体" w:cs="宋体"/>
          <w:sz w:val="28"/>
          <w:szCs w:val="28"/>
        </w:rPr>
      </w:pPr>
      <w:r>
        <w:rPr>
          <w:rFonts w:hint="eastAsia" w:ascii="宋体" w:hAnsi="宋体" w:eastAsia="宋体" w:cs="宋体"/>
          <w:sz w:val="28"/>
          <w:szCs w:val="28"/>
        </w:rPr>
        <w:t>银行账号：</w:t>
      </w:r>
    </w:p>
    <w:p w14:paraId="0A480AC5">
      <w:pPr>
        <w:keepNext w:val="0"/>
        <w:keepLines w:val="0"/>
        <w:pageBreakBefore w:val="0"/>
        <w:widowControl w:val="0"/>
        <w:kinsoku/>
        <w:wordWrap/>
        <w:overflowPunct/>
        <w:topLinePunct w:val="0"/>
        <w:autoSpaceDE/>
        <w:autoSpaceDN/>
        <w:bidi w:val="0"/>
        <w:adjustRightInd/>
        <w:spacing w:line="240" w:lineRule="auto"/>
        <w:textAlignment w:val="auto"/>
        <w:rPr>
          <w:rFonts w:hint="eastAsia" w:ascii="宋体" w:hAnsi="宋体" w:eastAsia="宋体" w:cs="宋体"/>
          <w:sz w:val="28"/>
          <w:szCs w:val="28"/>
        </w:rPr>
      </w:pPr>
      <w:r>
        <w:rPr>
          <w:rFonts w:hint="eastAsia" w:ascii="宋体" w:hAnsi="宋体" w:eastAsia="宋体" w:cs="宋体"/>
          <w:sz w:val="28"/>
          <w:szCs w:val="28"/>
        </w:rPr>
        <w:t xml:space="preserve">开户银行：     </w:t>
      </w:r>
    </w:p>
    <w:p w14:paraId="3EB101A4">
      <w:pPr>
        <w:keepNext w:val="0"/>
        <w:keepLines w:val="0"/>
        <w:pageBreakBefore w:val="0"/>
        <w:widowControl w:val="0"/>
        <w:kinsoku/>
        <w:wordWrap/>
        <w:overflowPunct/>
        <w:topLinePunct w:val="0"/>
        <w:autoSpaceDE/>
        <w:autoSpaceDN/>
        <w:bidi w:val="0"/>
        <w:adjustRightInd/>
        <w:spacing w:line="240" w:lineRule="auto"/>
        <w:textAlignment w:val="auto"/>
        <w:rPr>
          <w:rFonts w:hint="eastAsia" w:ascii="宋体" w:hAnsi="宋体" w:eastAsia="宋体" w:cs="宋体"/>
          <w:sz w:val="28"/>
          <w:szCs w:val="28"/>
        </w:rPr>
      </w:pPr>
      <w:r>
        <w:rPr>
          <w:rFonts w:hint="eastAsia" w:ascii="宋体" w:hAnsi="宋体" w:eastAsia="宋体" w:cs="宋体"/>
          <w:sz w:val="28"/>
          <w:szCs w:val="28"/>
        </w:rPr>
        <w:t>法定代表人（签字）：</w:t>
      </w:r>
    </w:p>
    <w:p w14:paraId="75638692">
      <w:pPr>
        <w:keepNext w:val="0"/>
        <w:keepLines w:val="0"/>
        <w:pageBreakBefore w:val="0"/>
        <w:widowControl w:val="0"/>
        <w:kinsoku/>
        <w:wordWrap/>
        <w:overflowPunct/>
        <w:topLinePunct w:val="0"/>
        <w:autoSpaceDE/>
        <w:autoSpaceDN/>
        <w:bidi w:val="0"/>
        <w:adjustRightInd/>
        <w:spacing w:line="240" w:lineRule="auto"/>
        <w:textAlignment w:val="auto"/>
        <w:rPr>
          <w:rFonts w:hint="eastAsia" w:ascii="宋体" w:hAnsi="宋体" w:eastAsia="宋体" w:cs="宋体"/>
          <w:sz w:val="28"/>
          <w:szCs w:val="28"/>
        </w:rPr>
      </w:pPr>
      <w:r>
        <w:rPr>
          <w:rFonts w:hint="eastAsia" w:ascii="宋体" w:hAnsi="宋体" w:eastAsia="宋体" w:cs="宋体"/>
          <w:sz w:val="28"/>
          <w:szCs w:val="28"/>
        </w:rPr>
        <w:t>时间：    年   月   日</w:t>
      </w:r>
    </w:p>
    <w:p w14:paraId="02B2E851">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宋体" w:hAnsi="宋体" w:eastAsia="宋体" w:cs="宋体"/>
          <w:sz w:val="28"/>
          <w:szCs w:val="28"/>
        </w:rPr>
      </w:pPr>
    </w:p>
    <w:p w14:paraId="6E4D21CF">
      <w:pPr>
        <w:keepNext w:val="0"/>
        <w:keepLines w:val="0"/>
        <w:pageBreakBefore w:val="0"/>
        <w:widowControl w:val="0"/>
        <w:kinsoku/>
        <w:wordWrap/>
        <w:overflowPunct/>
        <w:topLinePunct w:val="0"/>
        <w:autoSpaceDE/>
        <w:autoSpaceDN/>
        <w:bidi w:val="0"/>
        <w:adjustRightInd/>
        <w:spacing w:line="240" w:lineRule="auto"/>
        <w:textAlignment w:val="auto"/>
        <w:rPr>
          <w:rFonts w:hint="eastAsia" w:ascii="宋体" w:hAnsi="宋体" w:eastAsia="宋体" w:cs="宋体"/>
          <w:sz w:val="28"/>
          <w:szCs w:val="28"/>
        </w:rPr>
      </w:pPr>
      <w:r>
        <w:rPr>
          <w:rFonts w:hint="eastAsia" w:ascii="宋体" w:hAnsi="宋体" w:eastAsia="宋体" w:cs="宋体"/>
          <w:sz w:val="28"/>
          <w:szCs w:val="28"/>
        </w:rPr>
        <w:t>乙方（盖章）：</w:t>
      </w:r>
    </w:p>
    <w:p w14:paraId="7373B176">
      <w:pPr>
        <w:keepNext w:val="0"/>
        <w:keepLines w:val="0"/>
        <w:pageBreakBefore w:val="0"/>
        <w:widowControl w:val="0"/>
        <w:kinsoku/>
        <w:wordWrap/>
        <w:overflowPunct/>
        <w:topLinePunct w:val="0"/>
        <w:autoSpaceDE/>
        <w:autoSpaceDN/>
        <w:bidi w:val="0"/>
        <w:adjustRightInd/>
        <w:spacing w:line="240" w:lineRule="auto"/>
        <w:textAlignment w:val="auto"/>
        <w:rPr>
          <w:rFonts w:hint="eastAsia" w:ascii="宋体" w:hAnsi="宋体" w:eastAsia="宋体" w:cs="宋体"/>
          <w:sz w:val="28"/>
          <w:szCs w:val="28"/>
        </w:rPr>
      </w:pPr>
      <w:r>
        <w:rPr>
          <w:rFonts w:hint="eastAsia" w:ascii="宋体" w:hAnsi="宋体" w:eastAsia="宋体" w:cs="宋体"/>
          <w:sz w:val="28"/>
          <w:szCs w:val="28"/>
        </w:rPr>
        <w:t>银行账号：</w:t>
      </w:r>
    </w:p>
    <w:p w14:paraId="2A4A04B9">
      <w:pPr>
        <w:keepNext w:val="0"/>
        <w:keepLines w:val="0"/>
        <w:pageBreakBefore w:val="0"/>
        <w:widowControl w:val="0"/>
        <w:kinsoku/>
        <w:wordWrap/>
        <w:overflowPunct/>
        <w:topLinePunct w:val="0"/>
        <w:autoSpaceDE/>
        <w:autoSpaceDN/>
        <w:bidi w:val="0"/>
        <w:adjustRightInd/>
        <w:spacing w:line="240" w:lineRule="auto"/>
        <w:textAlignment w:val="auto"/>
        <w:rPr>
          <w:rFonts w:hint="eastAsia" w:ascii="宋体" w:hAnsi="宋体" w:eastAsia="宋体" w:cs="宋体"/>
          <w:sz w:val="28"/>
          <w:szCs w:val="28"/>
        </w:rPr>
      </w:pPr>
      <w:r>
        <w:rPr>
          <w:rFonts w:hint="eastAsia" w:ascii="宋体" w:hAnsi="宋体" w:eastAsia="宋体" w:cs="宋体"/>
          <w:sz w:val="28"/>
          <w:szCs w:val="28"/>
        </w:rPr>
        <w:t xml:space="preserve">开户银行：     </w:t>
      </w:r>
    </w:p>
    <w:p w14:paraId="1D169244">
      <w:pPr>
        <w:keepNext w:val="0"/>
        <w:keepLines w:val="0"/>
        <w:pageBreakBefore w:val="0"/>
        <w:widowControl w:val="0"/>
        <w:kinsoku/>
        <w:wordWrap/>
        <w:overflowPunct/>
        <w:topLinePunct w:val="0"/>
        <w:autoSpaceDE/>
        <w:autoSpaceDN/>
        <w:bidi w:val="0"/>
        <w:adjustRightInd/>
        <w:spacing w:line="240" w:lineRule="auto"/>
        <w:textAlignment w:val="auto"/>
        <w:rPr>
          <w:rFonts w:hint="eastAsia" w:ascii="宋体" w:hAnsi="宋体" w:eastAsia="宋体" w:cs="宋体"/>
          <w:sz w:val="28"/>
          <w:szCs w:val="28"/>
        </w:rPr>
      </w:pPr>
      <w:r>
        <w:rPr>
          <w:rFonts w:hint="eastAsia" w:ascii="宋体" w:hAnsi="宋体" w:eastAsia="宋体" w:cs="宋体"/>
          <w:sz w:val="28"/>
          <w:szCs w:val="28"/>
        </w:rPr>
        <w:t>法定代表人（签字）：</w:t>
      </w:r>
    </w:p>
    <w:p w14:paraId="75843E75">
      <w:pPr>
        <w:keepNext w:val="0"/>
        <w:keepLines w:val="0"/>
        <w:pageBreakBefore w:val="0"/>
        <w:widowControl w:val="0"/>
        <w:kinsoku/>
        <w:wordWrap/>
        <w:overflowPunct/>
        <w:topLinePunct w:val="0"/>
        <w:autoSpaceDE/>
        <w:autoSpaceDN/>
        <w:bidi w:val="0"/>
        <w:adjustRightInd/>
        <w:spacing w:line="240" w:lineRule="auto"/>
        <w:textAlignment w:val="auto"/>
        <w:rPr>
          <w:rFonts w:hint="eastAsia" w:ascii="仿宋" w:hAnsi="仿宋" w:eastAsia="仿宋"/>
          <w:sz w:val="28"/>
          <w:szCs w:val="28"/>
          <w:lang w:val="en-US" w:eastAsia="zh-CN"/>
        </w:rPr>
      </w:pPr>
      <w:r>
        <w:rPr>
          <w:rFonts w:hint="eastAsia" w:ascii="宋体" w:hAnsi="宋体" w:eastAsia="宋体" w:cs="宋体"/>
          <w:sz w:val="28"/>
          <w:szCs w:val="28"/>
        </w:rPr>
        <w:t>时间：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10" w:usb3="00000000" w:csb0="00040000" w:csb1="00000000"/>
  </w:font>
  <w:font w:name="汉仪书宋二KW">
    <w:altName w:val="宋体"/>
    <w:panose1 w:val="00020600040101010101"/>
    <w:charset w:val="86"/>
    <w:family w:val="auto"/>
    <w:pitch w:val="default"/>
    <w:sig w:usb0="00000000" w:usb1="00000000" w:usb2="00000016"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A2B996"/>
    <w:multiLevelType w:val="singleLevel"/>
    <w:tmpl w:val="4EA2B996"/>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zZGQyMzQ5MWRhY2U2YzQwMWE2MGYyYjk2NWMwNzQifQ=="/>
  </w:docVars>
  <w:rsids>
    <w:rsidRoot w:val="0B284140"/>
    <w:rsid w:val="0A9E7CF1"/>
    <w:rsid w:val="0B284140"/>
    <w:rsid w:val="0F8341AE"/>
    <w:rsid w:val="11F56D91"/>
    <w:rsid w:val="144F43A4"/>
    <w:rsid w:val="14EA425F"/>
    <w:rsid w:val="1F2255D2"/>
    <w:rsid w:val="3167228D"/>
    <w:rsid w:val="329B53E9"/>
    <w:rsid w:val="3BF3526B"/>
    <w:rsid w:val="3CAE3B2D"/>
    <w:rsid w:val="3E295549"/>
    <w:rsid w:val="407F6468"/>
    <w:rsid w:val="44714B6D"/>
    <w:rsid w:val="47915F6E"/>
    <w:rsid w:val="50F40584"/>
    <w:rsid w:val="557E5093"/>
    <w:rsid w:val="57A37CC2"/>
    <w:rsid w:val="5870229A"/>
    <w:rsid w:val="5A741FED"/>
    <w:rsid w:val="72CA3D66"/>
    <w:rsid w:val="740B2D06"/>
    <w:rsid w:val="79295A4A"/>
    <w:rsid w:val="7BBA733C"/>
    <w:rsid w:val="FFCB8A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
    <w:name w:val="NormalCharacter"/>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3008</Words>
  <Characters>3126</Characters>
  <Lines>0</Lines>
  <Paragraphs>0</Paragraphs>
  <TotalTime>2</TotalTime>
  <ScaleCrop>false</ScaleCrop>
  <LinksUpToDate>false</LinksUpToDate>
  <CharactersWithSpaces>3210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2025-10-30T19:24:00Z</dcterms:created>
  <dc:creator>Alex Duan</dc:creator>
  <cp:lastModifiedBy>吴林烜</cp:lastModifiedBy>
  <dcterms:modified xsi:type="dcterms:W3CDTF">2025-11-07T14:47:04Z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5EAD88D5AC50471DB093B47A4DC71E13_11</vt:lpwstr>
  </property>
  <property fmtid="{D5CDD505-2E9C-101B-9397-08002B2CF9AE}" pid="4" name="KSOTemplateDocerSaveRecord">
    <vt:lpwstr>eyJoZGlkIjoiNjVjYTgxMzk2YTlhN2Y1ZWVhYTY2NGYzZDAwMzk4MDgiLCJ1c2VySWQiOiIzNTQyNDUyODYifQ==</vt:lpwstr>
  </property>
</Properties>
</file>